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22059">
      <w:pPr>
        <w:pStyle w:val="9"/>
        <w:spacing w:line="560" w:lineRule="exact"/>
        <w:ind w:left="0" w:leftChars="0" w:firstLine="0" w:firstLineChars="0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  <w:t>1</w:t>
      </w:r>
    </w:p>
    <w:p w14:paraId="62F7108C">
      <w:pPr>
        <w:spacing w:line="560" w:lineRule="exact"/>
        <w:ind w:firstLine="880" w:firstLineChars="200"/>
        <w:jc w:val="center"/>
        <w:rPr>
          <w:rFonts w:hint="default" w:ascii="Times New Roman" w:hAnsi="Times New Roman" w:eastAsia="方正小标宋简体" w:cs="Times New Roman"/>
          <w:bCs/>
          <w:sz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</w:rPr>
        <w:t>评分标准</w:t>
      </w:r>
    </w:p>
    <w:bookmarkEnd w:id="0"/>
    <w:p w14:paraId="7782DC23">
      <w:pPr>
        <w:pStyle w:val="3"/>
        <w:rPr>
          <w:rFonts w:hint="default" w:ascii="Times New Roman" w:hAnsi="Times New Roman" w:cs="Times New Roman"/>
        </w:rPr>
      </w:pPr>
    </w:p>
    <w:tbl>
      <w:tblPr>
        <w:tblStyle w:val="7"/>
        <w:tblW w:w="9762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408"/>
        <w:gridCol w:w="1015"/>
        <w:gridCol w:w="6520"/>
      </w:tblGrid>
      <w:tr w14:paraId="4C52B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2" w:type="dxa"/>
            <w:gridSpan w:val="4"/>
            <w:vAlign w:val="center"/>
          </w:tcPr>
          <w:p w14:paraId="1F17236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4"/>
                <w:sz w:val="24"/>
                <w:szCs w:val="24"/>
              </w:rPr>
              <w:t>综合评分法</w:t>
            </w:r>
          </w:p>
        </w:tc>
      </w:tr>
      <w:tr w14:paraId="44714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19" w:type="dxa"/>
          </w:tcPr>
          <w:p w14:paraId="5ED7823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kern w:val="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4"/>
                <w:sz w:val="24"/>
                <w:szCs w:val="24"/>
              </w:rPr>
              <w:t>序号</w:t>
            </w:r>
          </w:p>
        </w:tc>
        <w:tc>
          <w:tcPr>
            <w:tcW w:w="1408" w:type="dxa"/>
          </w:tcPr>
          <w:p w14:paraId="230446F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kern w:val="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4"/>
                <w:sz w:val="24"/>
                <w:szCs w:val="24"/>
              </w:rPr>
              <w:t>内容</w:t>
            </w:r>
          </w:p>
        </w:tc>
        <w:tc>
          <w:tcPr>
            <w:tcW w:w="1015" w:type="dxa"/>
          </w:tcPr>
          <w:p w14:paraId="1542D8C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kern w:val="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4"/>
                <w:sz w:val="24"/>
                <w:szCs w:val="24"/>
              </w:rPr>
              <w:t>分值</w:t>
            </w:r>
          </w:p>
        </w:tc>
        <w:tc>
          <w:tcPr>
            <w:tcW w:w="6520" w:type="dxa"/>
          </w:tcPr>
          <w:p w14:paraId="0A9C0FE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kern w:val="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4"/>
                <w:sz w:val="24"/>
                <w:szCs w:val="24"/>
              </w:rPr>
              <w:t>评分规则</w:t>
            </w:r>
          </w:p>
        </w:tc>
      </w:tr>
      <w:tr w14:paraId="57717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vAlign w:val="center"/>
          </w:tcPr>
          <w:p w14:paraId="34820D2A">
            <w:pPr>
              <w:pStyle w:val="11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08" w:type="dxa"/>
            <w:vAlign w:val="center"/>
          </w:tcPr>
          <w:p w14:paraId="680C0FDA">
            <w:pPr>
              <w:pStyle w:val="11"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lang w:val="en-US" w:eastAsia="zh-CN" w:bidi="ar-SA"/>
              </w:rPr>
              <w:t>项目价格</w:t>
            </w:r>
          </w:p>
        </w:tc>
        <w:tc>
          <w:tcPr>
            <w:tcW w:w="1015" w:type="dxa"/>
            <w:vAlign w:val="center"/>
          </w:tcPr>
          <w:p w14:paraId="09F0AA4A">
            <w:pPr>
              <w:pStyle w:val="11"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lang w:val="en-US" w:eastAsia="zh-CN" w:bidi="ar-SA"/>
              </w:rPr>
              <w:t>分</w:t>
            </w:r>
          </w:p>
        </w:tc>
        <w:tc>
          <w:tcPr>
            <w:tcW w:w="6520" w:type="dxa"/>
          </w:tcPr>
          <w:p w14:paraId="28FD6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</w:rPr>
              <w:t>采用低价优先法计算，即满足招标文件要求且投标价格最低的投标报价为评标基准价，其价格分为满分。其他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lang w:eastAsia="zh-CN"/>
              </w:rPr>
              <w:t>投标单位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</w:rPr>
              <w:t>的价格分统一按照下列公式计算:</w:t>
            </w:r>
          </w:p>
          <w:p w14:paraId="2D707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</w:rPr>
              <w:t>投标报价得分=(评标基准价/投标报价)×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</w:rPr>
              <w:t>（小数点保留两位）</w:t>
            </w:r>
          </w:p>
          <w:p w14:paraId="3F729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lang w:val="en-US" w:eastAsia="zh-CN"/>
              </w:rPr>
              <w:t>评标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</w:rPr>
              <w:t>小组认为供应商的报价明显低于其他通过符合性审查供应商的报价，有可能不能诚信履约的，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lang w:val="en-US" w:eastAsia="zh-CN"/>
              </w:rPr>
              <w:t>评标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</w:rPr>
              <w:t>小组有权要求其在评标现场合理的时间内提供书面说明，必要时提交相关证明材料；供应商如不能证明其报价合理性的，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lang w:val="en-US" w:eastAsia="zh-CN"/>
              </w:rPr>
              <w:t>评标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</w:rPr>
              <w:t>小组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lang w:val="en-US" w:eastAsia="zh-CN"/>
              </w:rPr>
              <w:t>有权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</w:rPr>
              <w:t>将其作为响应无效处理。</w:t>
            </w:r>
          </w:p>
        </w:tc>
      </w:tr>
      <w:tr w14:paraId="26E15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819" w:type="dxa"/>
            <w:vMerge w:val="restart"/>
            <w:vAlign w:val="center"/>
          </w:tcPr>
          <w:p w14:paraId="4EC9E9A6">
            <w:pPr>
              <w:pStyle w:val="11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408" w:type="dxa"/>
            <w:vMerge w:val="restart"/>
            <w:vAlign w:val="center"/>
          </w:tcPr>
          <w:p w14:paraId="496BD7AC">
            <w:pPr>
              <w:pStyle w:val="11"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lang w:val="en-US" w:eastAsia="zh-CN" w:bidi="ar-SA"/>
              </w:rPr>
              <w:t>综合实力</w:t>
            </w:r>
          </w:p>
        </w:tc>
        <w:tc>
          <w:tcPr>
            <w:tcW w:w="1015" w:type="dxa"/>
            <w:vAlign w:val="center"/>
          </w:tcPr>
          <w:p w14:paraId="0DDCCE47">
            <w:pPr>
              <w:pStyle w:val="11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4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highlight w:val="none"/>
                <w:lang w:val="en-US" w:eastAsia="zh-CN" w:bidi="ar-SA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highlight w:val="none"/>
                <w:lang w:val="en-US" w:eastAsia="zh-CN" w:bidi="ar-SA"/>
              </w:rPr>
              <w:t>分</w:t>
            </w:r>
          </w:p>
        </w:tc>
        <w:tc>
          <w:tcPr>
            <w:tcW w:w="6520" w:type="dxa"/>
          </w:tcPr>
          <w:p w14:paraId="64BE2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4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4"/>
                <w:sz w:val="24"/>
                <w:highlight w:val="none"/>
                <w:lang w:val="en-US" w:eastAsia="zh-CN"/>
              </w:rPr>
              <w:t>业绩要求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4"/>
                <w:sz w:val="24"/>
                <w:highlight w:val="none"/>
                <w:lang w:val="zh-TW" w:eastAsia="zh-CN"/>
              </w:rPr>
              <w:t>：</w:t>
            </w:r>
          </w:p>
          <w:p w14:paraId="4F688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kern w:val="4"/>
                <w:sz w:val="24"/>
                <w:szCs w:val="24"/>
                <w:highlight w:val="none"/>
                <w:lang w:val="zh-TW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  <w:t>投标单位提供20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  <w:t>年1月1日至今承接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  <w:t>足球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  <w:t>相关项目业绩案例的合同原件扫描件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  <w:t>或中标通知书扫描件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  <w:t>，每提供1个有效业绩合同得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  <w:t>分，最高得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  <w:t>分。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  <w:t xml:space="preserve">    注：有效业绩合同须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  <w:t>提供有效项目合同、中标通知书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  <w:t>，否则不予计分。</w:t>
            </w:r>
          </w:p>
        </w:tc>
      </w:tr>
      <w:tr w14:paraId="3689B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continue"/>
            <w:vAlign w:val="center"/>
          </w:tcPr>
          <w:p w14:paraId="5407AE50">
            <w:pPr>
              <w:pStyle w:val="11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4"/>
                <w:sz w:val="24"/>
                <w:szCs w:val="24"/>
              </w:rPr>
            </w:pPr>
          </w:p>
        </w:tc>
        <w:tc>
          <w:tcPr>
            <w:tcW w:w="1408" w:type="dxa"/>
            <w:vMerge w:val="continue"/>
            <w:vAlign w:val="center"/>
          </w:tcPr>
          <w:p w14:paraId="14F66044">
            <w:pPr>
              <w:pStyle w:val="11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4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1AD09E81">
            <w:pPr>
              <w:pStyle w:val="11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4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highlight w:val="none"/>
                <w:lang w:val="en-US" w:eastAsia="zh-CN" w:bidi="ar-SA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highlight w:val="none"/>
                <w:lang w:val="en-US" w:eastAsia="zh-CN" w:bidi="ar-SA"/>
              </w:rPr>
              <w:t>分</w:t>
            </w:r>
          </w:p>
        </w:tc>
        <w:tc>
          <w:tcPr>
            <w:tcW w:w="6520" w:type="dxa"/>
          </w:tcPr>
          <w:p w14:paraId="7A65D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kern w:val="4"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4"/>
                <w:sz w:val="24"/>
                <w:highlight w:val="none"/>
                <w:lang w:val="en-US" w:eastAsia="zh-CN"/>
              </w:rPr>
              <w:t>竞赛组织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4"/>
                <w:sz w:val="24"/>
                <w:highlight w:val="none"/>
                <w:lang w:val="en-US" w:eastAsia="zh-CN"/>
              </w:rPr>
              <w:t>能力和资质：</w:t>
            </w:r>
          </w:p>
          <w:p w14:paraId="28DC2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  <w:t>1.相关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  <w:t>工作人员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  <w:t>熟悉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  <w:t>足球竞赛组织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  <w:t>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  <w:t>校园足球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  <w:t>改革方向；</w:t>
            </w:r>
          </w:p>
          <w:p w14:paraId="5C59B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  <w:t>2.对当前中小学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  <w:t>校园足球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  <w:t>有一定的研究，能够结合实际情况提供精准的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  <w:t>活动方案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  <w:t>设计；</w:t>
            </w:r>
          </w:p>
          <w:p w14:paraId="32B3A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  <w:t>3. 人员资质：提供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  <w:t>工作人员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  <w:t>相应的职称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  <w:t>、业务能力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  <w:t>证书。</w:t>
            </w:r>
          </w:p>
          <w:p w14:paraId="6F924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  <w:t>每1个国家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  <w:t>一级裁判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  <w:t>加5分，每1位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  <w:t>D级以上证书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  <w:t>加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  <w:t>分，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  <w:t>每高一级别多加2分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  <w:t>，最高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  <w:t>得18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highlight w:val="none"/>
                <w:lang w:val="en-US" w:eastAsia="zh-CN"/>
              </w:rPr>
              <w:t>分。</w:t>
            </w:r>
          </w:p>
        </w:tc>
      </w:tr>
      <w:tr w14:paraId="1B407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Align w:val="center"/>
          </w:tcPr>
          <w:p w14:paraId="619947D7">
            <w:pPr>
              <w:pStyle w:val="11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408" w:type="dxa"/>
            <w:vAlign w:val="center"/>
          </w:tcPr>
          <w:p w14:paraId="509AAA50">
            <w:pPr>
              <w:pStyle w:val="11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lang w:val="en-US" w:eastAsia="zh-CN" w:bidi="ar-SA"/>
              </w:rPr>
            </w:pPr>
          </w:p>
          <w:p w14:paraId="5EE1E7B8">
            <w:pPr>
              <w:pStyle w:val="11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lang w:val="en-US" w:eastAsia="zh-CN" w:bidi="ar-SA"/>
              </w:rPr>
            </w:pPr>
          </w:p>
          <w:p w14:paraId="3CBBFC29">
            <w:pPr>
              <w:pStyle w:val="11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lang w:val="en-US" w:eastAsia="zh-CN" w:bidi="ar-SA"/>
              </w:rPr>
            </w:pPr>
          </w:p>
          <w:p w14:paraId="4A786F05">
            <w:pPr>
              <w:pStyle w:val="11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lang w:val="en-US" w:eastAsia="zh-CN" w:bidi="ar-SA"/>
              </w:rPr>
            </w:pPr>
          </w:p>
          <w:p w14:paraId="40A3686D">
            <w:pPr>
              <w:pStyle w:val="11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lang w:val="en-US" w:eastAsia="zh-CN" w:bidi="ar-SA"/>
              </w:rPr>
              <w:t>项目方案</w:t>
            </w:r>
          </w:p>
        </w:tc>
        <w:tc>
          <w:tcPr>
            <w:tcW w:w="1015" w:type="dxa"/>
            <w:vAlign w:val="center"/>
          </w:tcPr>
          <w:p w14:paraId="7438199A">
            <w:pPr>
              <w:pStyle w:val="11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4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lang w:val="en-US" w:eastAsia="zh-CN" w:bidi="ar-SA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lang w:val="en-US" w:eastAsia="zh-CN" w:bidi="ar-SA"/>
              </w:rPr>
              <w:t>分</w:t>
            </w:r>
          </w:p>
        </w:tc>
        <w:tc>
          <w:tcPr>
            <w:tcW w:w="6520" w:type="dxa"/>
          </w:tcPr>
          <w:p w14:paraId="4243E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4"/>
                <w:sz w:val="24"/>
              </w:rPr>
              <w:t>实施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4"/>
                <w:sz w:val="24"/>
                <w:lang w:val="zh-TW" w:eastAsia="zh-TW"/>
              </w:rPr>
              <w:t>方案和实施能力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4"/>
                <w:sz w:val="24"/>
                <w:lang w:val="zh-TW"/>
              </w:rPr>
              <w:t>：</w:t>
            </w:r>
          </w:p>
          <w:p w14:paraId="4A4C6B87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lang w:val="en-US" w:eastAsia="zh-CN"/>
              </w:rPr>
              <w:t>实施方案和实施能力：根据相应单位所提供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lang w:val="en-US" w:eastAsia="zh-CN"/>
              </w:rPr>
              <w:t>活动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lang w:val="en-US" w:eastAsia="zh-CN"/>
              </w:rPr>
              <w:t>方案的完整性、计划性、有效性进行评分。完整性指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lang w:val="en-US" w:eastAsia="zh-CN"/>
              </w:rPr>
              <w:t>活动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lang w:val="en-US" w:eastAsia="zh-CN"/>
              </w:rPr>
              <w:t>方案应对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lang w:val="en-US" w:eastAsia="zh-CN"/>
              </w:rPr>
              <w:t>校园足球联赛暨嘉年华活动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lang w:val="en-US" w:eastAsia="zh-CN"/>
              </w:rPr>
              <w:t>项目需求充分响应，对培训各环节工作内容的服务处理方案；计划性指实施方案应对各项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lang w:val="en-US" w:eastAsia="zh-CN"/>
              </w:rPr>
              <w:t>活动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lang w:val="en-US" w:eastAsia="zh-CN"/>
              </w:rPr>
              <w:t>工作的计划安排进行细化说明，包括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lang w:val="en-US" w:eastAsia="zh-CN"/>
              </w:rPr>
              <w:t>赛事编排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lang w:val="en-US" w:eastAsia="zh-CN"/>
              </w:rPr>
              <w:t>、人员安排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lang w:val="en-US" w:eastAsia="zh-CN"/>
              </w:rPr>
              <w:t>、实践设计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lang w:val="en-US" w:eastAsia="zh-CN"/>
              </w:rPr>
              <w:t>等；有效性指相应单位应于实施方案内对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lang w:val="en-US" w:eastAsia="zh-CN"/>
              </w:rPr>
              <w:t>活动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lang w:val="en-US" w:eastAsia="zh-CN"/>
              </w:rPr>
              <w:t>质量保障、准确性保障和管理服务保障相关措施进行说明。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highlight w:val="none"/>
                <w:lang w:val="en-US" w:eastAsia="zh-CN" w:bidi="ar-SA"/>
              </w:rPr>
              <w:t>实施方案依据三方面综合评价，整体方案内容结构完整、逻辑清晰连贯、措施有效的为优，得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highlight w:val="none"/>
                <w:lang w:val="en-US" w:eastAsia="zh-CN" w:bidi="ar-SA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highlight w:val="none"/>
                <w:lang w:val="en-US" w:eastAsia="zh-CN" w:bidi="ar-SA"/>
              </w:rPr>
              <w:t xml:space="preserve"> -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highlight w:val="none"/>
                <w:lang w:val="en-US" w:eastAsia="zh-CN" w:bidi="ar-SA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highlight w:val="none"/>
                <w:lang w:val="en-US" w:eastAsia="zh-CN" w:bidi="ar-SA"/>
              </w:rPr>
              <w:t>分；结构较完整、逻辑清晰、措施合理的为良，得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highlight w:val="none"/>
                <w:lang w:val="en-US" w:eastAsia="zh-CN" w:bidi="ar-SA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highlight w:val="none"/>
                <w:lang w:val="en-US" w:eastAsia="zh-CN" w:bidi="ar-SA"/>
              </w:rPr>
              <w:t xml:space="preserve"> -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highlight w:val="none"/>
                <w:lang w:val="en-US" w:eastAsia="zh-CN" w:bidi="ar-SA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highlight w:val="none"/>
                <w:lang w:val="en-US" w:eastAsia="zh-CN" w:bidi="ar-SA"/>
              </w:rPr>
              <w:t>分；整体方案内容一般的，得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highlight w:val="none"/>
                <w:lang w:val="en-US" w:eastAsia="zh-CN" w:bidi="ar-SA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highlight w:val="none"/>
                <w:lang w:val="en-US" w:eastAsia="zh-CN" w:bidi="ar-SA"/>
              </w:rPr>
              <w:t xml:space="preserve"> -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highlight w:val="none"/>
                <w:lang w:val="en-US" w:eastAsia="zh-CN" w:bidi="ar-SA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highlight w:val="none"/>
                <w:lang w:val="en-US" w:eastAsia="zh-CN" w:bidi="ar-SA"/>
              </w:rPr>
              <w:t>分；整体方案内容较差的，得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highlight w:val="none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highlight w:val="none"/>
                <w:lang w:val="en-US" w:eastAsia="zh-CN" w:bidi="ar-SA"/>
              </w:rPr>
              <w:t xml:space="preserve"> -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highlight w:val="none"/>
                <w:lang w:val="en-US" w:eastAsia="zh-CN" w:bidi="ar-SA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highlight w:val="none"/>
                <w:lang w:val="en-US" w:eastAsia="zh-CN" w:bidi="ar-SA"/>
              </w:rPr>
              <w:t>分；不提供不得分。</w:t>
            </w:r>
          </w:p>
        </w:tc>
      </w:tr>
      <w:tr w14:paraId="39691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Align w:val="center"/>
          </w:tcPr>
          <w:p w14:paraId="60F1D306">
            <w:pPr>
              <w:pStyle w:val="11"/>
              <w:spacing w:line="560" w:lineRule="exact"/>
              <w:ind w:left="0" w:leftChars="0"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408" w:type="dxa"/>
            <w:vAlign w:val="center"/>
          </w:tcPr>
          <w:p w14:paraId="7DD8D33F">
            <w:pPr>
              <w:pStyle w:val="11"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lang w:val="en-US" w:eastAsia="zh-CN" w:bidi="ar-SA"/>
              </w:rPr>
              <w:t>保密方案</w:t>
            </w:r>
          </w:p>
        </w:tc>
        <w:tc>
          <w:tcPr>
            <w:tcW w:w="1015" w:type="dxa"/>
            <w:vAlign w:val="center"/>
          </w:tcPr>
          <w:p w14:paraId="4F9B684C">
            <w:pPr>
              <w:pStyle w:val="11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lang w:val="en-US" w:eastAsia="zh-CN" w:bidi="ar-SA"/>
              </w:rPr>
              <w:t>分</w:t>
            </w:r>
          </w:p>
        </w:tc>
        <w:tc>
          <w:tcPr>
            <w:tcW w:w="6520" w:type="dxa"/>
          </w:tcPr>
          <w:p w14:paraId="1D6E3028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textAlignment w:val="auto"/>
              <w:outlineLvl w:val="1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lang w:eastAsia="zh-CN"/>
              </w:rPr>
              <w:t>根据投标单位提供的针对本项目服务过程中涉及的重要内容（如学员信息）的安全保密管理方案进行综合评分，方案应至少包含项目保密管理制度、保密措施等：</w:t>
            </w:r>
          </w:p>
          <w:p w14:paraId="790BE607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textAlignment w:val="auto"/>
              <w:outlineLvl w:val="1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lang w:eastAsia="zh-CN"/>
              </w:rPr>
              <w:t>1.保密管理制度完善，保密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lang w:val="en-US" w:eastAsia="zh-CN"/>
              </w:rPr>
              <w:t>措施严密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lang w:eastAsia="zh-CN"/>
              </w:rPr>
              <w:t>，能够有效保障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lang w:val="en-US" w:eastAsia="zh-CN"/>
              </w:rPr>
              <w:t>监测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lang w:eastAsia="zh-CN"/>
              </w:rPr>
              <w:t>数据安全，得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lang w:eastAsia="zh-CN"/>
              </w:rPr>
              <w:t>分；</w:t>
            </w:r>
          </w:p>
          <w:p w14:paraId="3E343716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textAlignment w:val="auto"/>
              <w:outlineLvl w:val="1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4"/>
                <w:sz w:val="24"/>
                <w:szCs w:val="24"/>
                <w:lang w:eastAsia="zh-CN"/>
              </w:rPr>
              <w:t>未提供方案或方案不可行或与本项目实际完全不符的，得0分。</w:t>
            </w:r>
          </w:p>
        </w:tc>
      </w:tr>
    </w:tbl>
    <w:p w14:paraId="63EC4B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仿宋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35589"/>
    <w:rsid w:val="7483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Arial" w:hAnsi="Arial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1"/>
    </w:pPr>
    <w:rPr>
      <w:rFonts w:ascii="Arial" w:hAnsi="Arial" w:eastAsiaTheme="majorEastAsia"/>
      <w:b/>
      <w:sz w:val="2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400" w:lineRule="exact"/>
    </w:pPr>
    <w:rPr>
      <w:rFonts w:ascii="楷体_GB2312"/>
      <w:sz w:val="28"/>
    </w:rPr>
  </w:style>
  <w:style w:type="paragraph" w:styleId="4">
    <w:name w:val="Title"/>
    <w:basedOn w:val="1"/>
    <w:next w:val="5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5">
    <w:name w:val="Plain Text"/>
    <w:basedOn w:val="1"/>
    <w:unhideWhenUsed/>
    <w:qFormat/>
    <w:uiPriority w:val="0"/>
    <w:rPr>
      <w:rFonts w:ascii="宋体" w:hAnsi="Courier New" w:cs="Times New Roman"/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段"/>
    <w:next w:val="10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Times New Roman" w:cs="Times New Roman"/>
      <w:sz w:val="21"/>
      <w:lang w:val="en-US" w:eastAsia="zh-CN" w:bidi="ar-SA"/>
    </w:rPr>
  </w:style>
  <w:style w:type="paragraph" w:customStyle="1" w:styleId="10">
    <w:name w:val="正文 A"/>
    <w:next w:val="9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宋体" w:cs="Times New Roman"/>
      <w:color w:val="000000"/>
      <w:kern w:val="2"/>
      <w:sz w:val="21"/>
      <w:szCs w:val="21"/>
      <w:lang w:val="en-US" w:eastAsia="zh-CN" w:bidi="ar-SA"/>
    </w:rPr>
  </w:style>
  <w:style w:type="paragraph" w:customStyle="1" w:styleId="11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2025-06-20T07:09:00Z</dcterms:created>
  <dc:creator>嗷呦</dc:creator>
  <cp:lastModifiedBy>嗷呦</cp:lastModifiedBy>
  <dcterms:modified xsi:type="dcterms:W3CDTF">2025-06-20T07:09:47Z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3548E1B7B7F74CB38E0B0FECB379F74F_11</vt:lpwstr>
  </property>
  <property fmtid="{D5CDD505-2E9C-101B-9397-08002B2CF9AE}" pid="4" name="KSOTemplateDocerSaveRecord">
    <vt:lpwstr>eyJoZGlkIjoiM2RmYzY0NjlhNWNhZWRiYTIwNzljZmMyYzhhNmM5MDQiLCJ1c2VySWQiOiI0MTQ2NzEyMjQifQ==</vt:lpwstr>
  </property>
</Properties>
</file>