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324EF">
      <w:pPr>
        <w:pStyle w:val="7"/>
        <w:spacing w:line="560" w:lineRule="exact"/>
        <w:ind w:left="0" w:leftChars="0" w:firstLine="0" w:firstLineChars="0"/>
        <w:rPr>
          <w:rFonts w:hint="default" w:ascii="Times New Roman" w:hAnsi="Times New Roman" w:eastAsia="黑体" w:cs="Times New Roman"/>
          <w:kern w:val="2"/>
          <w:sz w:val="32"/>
          <w:szCs w:val="32"/>
          <w:lang w:val="en-US" w:eastAsia="zh-CN"/>
        </w:rPr>
      </w:pPr>
      <w:r>
        <w:rPr>
          <w:rFonts w:hint="default" w:ascii="Times New Roman" w:hAnsi="Times New Roman" w:eastAsia="黑体" w:cs="Times New Roman"/>
          <w:kern w:val="2"/>
          <w:sz w:val="32"/>
          <w:szCs w:val="32"/>
        </w:rPr>
        <w:t>附件</w:t>
      </w:r>
      <w:r>
        <w:rPr>
          <w:rFonts w:hint="default" w:ascii="Times New Roman" w:hAnsi="Times New Roman" w:eastAsia="黑体" w:cs="Times New Roman"/>
          <w:kern w:val="2"/>
          <w:sz w:val="32"/>
          <w:szCs w:val="32"/>
          <w:lang w:val="en-US" w:eastAsia="zh-CN"/>
        </w:rPr>
        <w:t>1</w:t>
      </w:r>
    </w:p>
    <w:p w14:paraId="62F7108C">
      <w:pPr>
        <w:pStyle w:val="7"/>
        <w:spacing w:line="560" w:lineRule="exact"/>
        <w:ind w:left="0" w:leftChars="0" w:firstLine="0" w:firstLineChars="0"/>
        <w:jc w:val="center"/>
        <w:rPr>
          <w:rFonts w:hint="default" w:ascii="Times New Roman" w:hAnsi="Times New Roman" w:eastAsia="方正小标宋简体" w:cs="Times New Roman"/>
          <w:bCs/>
          <w:sz w:val="44"/>
        </w:rPr>
      </w:pPr>
      <w:r>
        <w:rPr>
          <w:rFonts w:hint="default" w:ascii="Times New Roman" w:hAnsi="Times New Roman" w:eastAsia="方正小标宋简体" w:cs="Times New Roman"/>
          <w:bCs/>
          <w:sz w:val="44"/>
        </w:rPr>
        <w:t>评分标准</w:t>
      </w:r>
    </w:p>
    <w:p w14:paraId="7782DC23">
      <w:pPr>
        <w:pStyle w:val="2"/>
        <w:bidi w:val="0"/>
        <w:rPr>
          <w:rFonts w:hint="default"/>
        </w:rPr>
      </w:pPr>
    </w:p>
    <w:p w14:paraId="20721DE9">
      <w:pPr>
        <w:pStyle w:val="9"/>
        <w:numPr>
          <w:ilvl w:val="0"/>
          <w:numId w:val="0"/>
        </w:numPr>
        <w:rPr>
          <w:rFonts w:hint="default" w:ascii="仿宋" w:hAnsi="仿宋" w:eastAsia="仿宋" w:cs="仿宋"/>
          <w:bCs/>
          <w:kern w:val="2"/>
          <w:sz w:val="28"/>
          <w:szCs w:val="28"/>
          <w:lang w:val="en-US" w:eastAsia="zh-CN" w:bidi="ar-SA"/>
        </w:rPr>
      </w:pPr>
    </w:p>
    <w:tbl>
      <w:tblPr>
        <w:tblStyle w:val="5"/>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1224"/>
        <w:gridCol w:w="793"/>
        <w:gridCol w:w="6209"/>
      </w:tblGrid>
      <w:tr w14:paraId="14CA3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2" w:hRule="atLeast"/>
          <w:jc w:val="center"/>
        </w:trPr>
        <w:tc>
          <w:tcPr>
            <w:tcW w:w="675" w:type="dxa"/>
            <w:tcBorders>
              <w:bottom w:val="single" w:color="auto" w:sz="4" w:space="0"/>
            </w:tcBorders>
            <w:shd w:val="clear" w:color="auto" w:fill="auto"/>
            <w:vAlign w:val="center"/>
          </w:tcPr>
          <w:p w14:paraId="4A363BBB">
            <w:pPr>
              <w:widowControl/>
              <w:ind w:left="0" w:leftChars="0" w:firstLine="0" w:firstLineChars="0"/>
              <w:jc w:val="both"/>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224" w:type="dxa"/>
            <w:tcBorders>
              <w:bottom w:val="single" w:color="auto" w:sz="4" w:space="0"/>
            </w:tcBorders>
            <w:shd w:val="clear" w:color="auto" w:fill="auto"/>
            <w:vAlign w:val="center"/>
          </w:tcPr>
          <w:p w14:paraId="1B33DC87">
            <w:pPr>
              <w:widowControl/>
              <w:ind w:left="0" w:leftChars="0" w:firstLine="0" w:firstLineChars="0"/>
              <w:jc w:val="both"/>
              <w:rPr>
                <w:rFonts w:hint="eastAsia" w:ascii="宋体" w:hAnsi="宋体" w:eastAsia="宋体" w:cs="宋体"/>
                <w:b/>
                <w:color w:val="auto"/>
                <w:szCs w:val="21"/>
              </w:rPr>
            </w:pPr>
            <w:r>
              <w:rPr>
                <w:rFonts w:hint="eastAsia" w:ascii="宋体" w:hAnsi="宋体" w:eastAsia="宋体" w:cs="宋体"/>
                <w:b/>
                <w:color w:val="auto"/>
                <w:szCs w:val="21"/>
              </w:rPr>
              <w:t>评审项目</w:t>
            </w:r>
          </w:p>
        </w:tc>
        <w:tc>
          <w:tcPr>
            <w:tcW w:w="793" w:type="dxa"/>
            <w:tcBorders>
              <w:bottom w:val="single" w:color="auto" w:sz="4" w:space="0"/>
            </w:tcBorders>
            <w:shd w:val="clear" w:color="auto" w:fill="auto"/>
            <w:vAlign w:val="center"/>
          </w:tcPr>
          <w:p w14:paraId="720B151B">
            <w:pPr>
              <w:widowControl/>
              <w:ind w:left="0" w:leftChars="0" w:firstLine="0" w:firstLineChars="0"/>
              <w:jc w:val="both"/>
              <w:rPr>
                <w:rFonts w:hint="eastAsia" w:ascii="宋体" w:hAnsi="宋体" w:eastAsia="宋体" w:cs="宋体"/>
                <w:b/>
                <w:color w:val="auto"/>
                <w:szCs w:val="21"/>
              </w:rPr>
            </w:pPr>
            <w:r>
              <w:rPr>
                <w:rFonts w:hint="eastAsia" w:ascii="宋体" w:hAnsi="宋体" w:eastAsia="宋体" w:cs="宋体"/>
                <w:b/>
                <w:color w:val="auto"/>
                <w:szCs w:val="21"/>
              </w:rPr>
              <w:t>分值</w:t>
            </w:r>
          </w:p>
        </w:tc>
        <w:tc>
          <w:tcPr>
            <w:tcW w:w="6209" w:type="dxa"/>
            <w:tcBorders>
              <w:bottom w:val="single" w:color="auto" w:sz="4" w:space="0"/>
            </w:tcBorders>
            <w:shd w:val="clear" w:color="auto" w:fill="auto"/>
            <w:vAlign w:val="center"/>
          </w:tcPr>
          <w:p w14:paraId="1E685F4F">
            <w:pPr>
              <w:ind w:left="0" w:leftChars="0" w:firstLine="0" w:firstLineChars="0"/>
              <w:jc w:val="center"/>
              <w:rPr>
                <w:rFonts w:hint="eastAsia" w:ascii="宋体" w:hAnsi="宋体" w:eastAsia="宋体" w:cs="宋体"/>
                <w:b/>
                <w:color w:val="auto"/>
                <w:szCs w:val="21"/>
              </w:rPr>
            </w:pPr>
            <w:r>
              <w:rPr>
                <w:rFonts w:hint="eastAsia" w:ascii="宋体" w:hAnsi="宋体" w:eastAsia="宋体" w:cs="宋体"/>
                <w:b/>
                <w:color w:val="auto"/>
                <w:szCs w:val="21"/>
              </w:rPr>
              <w:t>评分标准</w:t>
            </w:r>
          </w:p>
        </w:tc>
      </w:tr>
      <w:tr w14:paraId="6D0A6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75" w:type="dxa"/>
            <w:tcBorders>
              <w:bottom w:val="single" w:color="auto" w:sz="4" w:space="0"/>
            </w:tcBorders>
            <w:shd w:val="clear" w:color="auto" w:fill="auto"/>
            <w:vAlign w:val="center"/>
          </w:tcPr>
          <w:p w14:paraId="25E005D7">
            <w:pPr>
              <w:widowControl/>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224" w:type="dxa"/>
            <w:tcBorders>
              <w:bottom w:val="single" w:color="auto" w:sz="4" w:space="0"/>
            </w:tcBorders>
            <w:shd w:val="clear" w:color="auto" w:fill="auto"/>
            <w:vAlign w:val="center"/>
          </w:tcPr>
          <w:p w14:paraId="09E3C098">
            <w:pPr>
              <w:spacing w:line="280" w:lineRule="exact"/>
              <w:ind w:left="0" w:leftChars="0"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响应报价</w:t>
            </w:r>
          </w:p>
        </w:tc>
        <w:tc>
          <w:tcPr>
            <w:tcW w:w="793" w:type="dxa"/>
            <w:tcBorders>
              <w:bottom w:val="single" w:color="auto" w:sz="4" w:space="0"/>
            </w:tcBorders>
            <w:shd w:val="clear" w:color="auto" w:fill="auto"/>
            <w:vAlign w:val="center"/>
          </w:tcPr>
          <w:p w14:paraId="411B7055">
            <w:pPr>
              <w:ind w:left="0" w:leftChars="0" w:firstLine="0" w:firstLineChars="0"/>
              <w:jc w:val="center"/>
              <w:rPr>
                <w:rFonts w:hint="eastAsia" w:ascii="宋体" w:hAnsi="宋体" w:eastAsia="宋体" w:cs="宋体"/>
                <w:b/>
                <w:color w:val="auto"/>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6209" w:type="dxa"/>
            <w:tcBorders>
              <w:bottom w:val="single" w:color="auto" w:sz="4" w:space="0"/>
            </w:tcBorders>
            <w:shd w:val="clear" w:color="auto" w:fill="auto"/>
            <w:vAlign w:val="center"/>
          </w:tcPr>
          <w:p w14:paraId="421C1D4E">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按满足磋商文件要求且报价最低的响应报价做为评标基准价，其价格分为满分10分；其他投标报价得分按以下公式计算：投标报价得分＝（评标基准价/最终报价）×10。符合磋商文件定的采购政策的供应商，按照扣除后的价格参与评审。</w:t>
            </w:r>
          </w:p>
          <w:p w14:paraId="4FC06AA6">
            <w:pPr>
              <w:keepNext w:val="0"/>
              <w:keepLines w:val="0"/>
              <w:pageBreakBefore w:val="0"/>
              <w:widowControl w:val="0"/>
              <w:kinsoku/>
              <w:wordWrap/>
              <w:overflowPunct/>
              <w:topLinePunct w:val="0"/>
              <w:bidi w:val="0"/>
              <w:snapToGrid/>
              <w:spacing w:line="240" w:lineRule="auto"/>
              <w:ind w:firstLine="482" w:firstLineChars="200"/>
              <w:textAlignment w:val="auto"/>
              <w:rPr>
                <w:rFonts w:hint="eastAsia" w:ascii="宋体" w:hAnsi="宋体" w:eastAsia="宋体" w:cs="宋体"/>
                <w:b/>
                <w:color w:val="auto"/>
                <w:szCs w:val="21"/>
              </w:rPr>
            </w:pPr>
            <w:r>
              <w:rPr>
                <w:rFonts w:hint="eastAsia" w:ascii="宋体" w:hAnsi="宋体" w:eastAsia="宋体" w:cs="宋体"/>
                <w:b/>
                <w:bCs/>
                <w:i w:val="0"/>
                <w:iCs w:val="0"/>
                <w:color w:val="auto"/>
                <w:sz w:val="24"/>
                <w:szCs w:val="24"/>
                <w:highlight w:val="none"/>
                <w:lang w:val="en-US" w:eastAsia="zh-CN"/>
              </w:rPr>
              <w:t>注：磋商小组认为供应商的报价明显低于其他通过符合性审查供应商的报价，有可能影响服务或者不能诚信履约的，应当要求其在磋商现场合理的时间内提供书面说明，必要时提交相关证明材料；供应商不能证明其报价合理性的，磋商小组应当将其作为无效投标。</w:t>
            </w:r>
          </w:p>
        </w:tc>
      </w:tr>
      <w:tr w14:paraId="60515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675" w:type="dxa"/>
            <w:tcBorders>
              <w:bottom w:val="single" w:color="auto" w:sz="4" w:space="0"/>
            </w:tcBorders>
            <w:shd w:val="clear" w:color="auto" w:fill="auto"/>
            <w:vAlign w:val="center"/>
          </w:tcPr>
          <w:p w14:paraId="49FCD2A8">
            <w:pPr>
              <w:widowControl/>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2</w:t>
            </w:r>
          </w:p>
        </w:tc>
        <w:tc>
          <w:tcPr>
            <w:tcW w:w="1224" w:type="dxa"/>
            <w:tcBorders>
              <w:bottom w:val="single" w:color="auto" w:sz="4" w:space="0"/>
            </w:tcBorders>
            <w:shd w:val="clear" w:color="auto" w:fill="auto"/>
            <w:vAlign w:val="center"/>
          </w:tcPr>
          <w:p w14:paraId="09DD790D">
            <w:pPr>
              <w:spacing w:line="280" w:lineRule="exact"/>
              <w:ind w:left="0" w:leftChars="0"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技术标</w:t>
            </w:r>
          </w:p>
          <w:p w14:paraId="3B424A2A">
            <w:pPr>
              <w:spacing w:line="280" w:lineRule="exact"/>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响应情况</w:t>
            </w:r>
          </w:p>
        </w:tc>
        <w:tc>
          <w:tcPr>
            <w:tcW w:w="793" w:type="dxa"/>
            <w:tcBorders>
              <w:bottom w:val="single" w:color="auto" w:sz="4" w:space="0"/>
            </w:tcBorders>
            <w:shd w:val="clear" w:color="auto" w:fill="auto"/>
            <w:vAlign w:val="center"/>
          </w:tcPr>
          <w:p w14:paraId="7AD99613">
            <w:pPr>
              <w:spacing w:line="280" w:lineRule="exact"/>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分</w:t>
            </w:r>
          </w:p>
        </w:tc>
        <w:tc>
          <w:tcPr>
            <w:tcW w:w="6209" w:type="dxa"/>
            <w:tcBorders>
              <w:bottom w:val="single" w:color="auto" w:sz="4" w:space="0"/>
            </w:tcBorders>
            <w:shd w:val="clear" w:color="auto" w:fill="auto"/>
            <w:vAlign w:val="center"/>
          </w:tcPr>
          <w:p w14:paraId="4192EFCE">
            <w:pPr>
              <w:keepNext/>
              <w:keepLines w:val="0"/>
              <w:suppressLineNumbers w:val="0"/>
              <w:autoSpaceDE w:val="0"/>
              <w:autoSpaceDN w:val="0"/>
              <w:adjustRightInd w:val="0"/>
              <w:spacing w:before="0" w:beforeAutospacing="0" w:after="0" w:afterAutospacing="0" w:line="240" w:lineRule="auto"/>
              <w:ind w:left="0" w:right="0" w:firstLine="433"/>
              <w:rPr>
                <w:rFonts w:hint="eastAsia" w:ascii="宋体" w:hAnsi="宋体" w:eastAsia="宋体" w:cs="宋体"/>
                <w:sz w:val="24"/>
                <w:szCs w:val="24"/>
                <w:lang w:eastAsia="zh-CN"/>
              </w:rPr>
            </w:pPr>
            <w:r>
              <w:rPr>
                <w:rFonts w:hint="eastAsia" w:ascii="宋体" w:hAnsi="宋体" w:eastAsia="宋体" w:cs="宋体"/>
                <w:sz w:val="24"/>
                <w:szCs w:val="24"/>
              </w:rPr>
              <w:t>完全响应</w:t>
            </w:r>
            <w:r>
              <w:rPr>
                <w:rFonts w:hint="eastAsia" w:ascii="宋体" w:hAnsi="宋体" w:eastAsia="宋体" w:cs="宋体"/>
                <w:sz w:val="24"/>
                <w:szCs w:val="24"/>
                <w:lang w:val="en-US" w:eastAsia="zh-CN"/>
              </w:rPr>
              <w:t>磋商</w:t>
            </w:r>
            <w:r>
              <w:rPr>
                <w:rFonts w:hint="eastAsia" w:ascii="宋体" w:hAnsi="宋体" w:eastAsia="宋体" w:cs="宋体"/>
                <w:sz w:val="24"/>
                <w:szCs w:val="24"/>
              </w:rPr>
              <w:t>文件中全部服务要求的得</w:t>
            </w:r>
            <w:r>
              <w:rPr>
                <w:rFonts w:hint="eastAsia" w:ascii="宋体" w:hAnsi="宋体" w:cs="宋体"/>
                <w:sz w:val="24"/>
                <w:szCs w:val="24"/>
                <w:lang w:val="en-US" w:eastAsia="zh-CN"/>
              </w:rPr>
              <w:t>10</w:t>
            </w:r>
            <w:r>
              <w:rPr>
                <w:rFonts w:hint="eastAsia" w:ascii="宋体" w:hAnsi="宋体" w:eastAsia="宋体" w:cs="宋体"/>
                <w:sz w:val="24"/>
                <w:szCs w:val="24"/>
              </w:rPr>
              <w:t>分，不能完全响应本项不得分。</w:t>
            </w:r>
          </w:p>
          <w:p w14:paraId="40EA528C">
            <w:pPr>
              <w:keepNext w:val="0"/>
              <w:keepLines w:val="0"/>
              <w:pageBreakBefore w:val="0"/>
              <w:widowControl w:val="0"/>
              <w:kinsoku/>
              <w:wordWrap/>
              <w:overflowPunct/>
              <w:topLinePunct w:val="0"/>
              <w:bidi w:val="0"/>
              <w:snapToGrid/>
              <w:spacing w:line="240" w:lineRule="auto"/>
              <w:ind w:firstLine="482"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b/>
                <w:bCs/>
                <w:sz w:val="24"/>
                <w:szCs w:val="24"/>
              </w:rPr>
              <w:t>注：要求在技术</w:t>
            </w:r>
            <w:r>
              <w:rPr>
                <w:rFonts w:hint="eastAsia" w:ascii="宋体" w:hAnsi="宋体" w:eastAsia="宋体" w:cs="宋体"/>
                <w:b/>
                <w:bCs/>
                <w:sz w:val="24"/>
                <w:szCs w:val="24"/>
                <w:lang w:val="en-US" w:eastAsia="zh-CN"/>
              </w:rPr>
              <w:t>要求</w:t>
            </w:r>
            <w:r>
              <w:rPr>
                <w:rFonts w:hint="eastAsia" w:ascii="宋体" w:hAnsi="宋体" w:eastAsia="宋体" w:cs="宋体"/>
                <w:b/>
                <w:bCs/>
                <w:sz w:val="24"/>
                <w:szCs w:val="24"/>
              </w:rPr>
              <w:t>响应表中逐项列明响应情况。</w:t>
            </w:r>
          </w:p>
        </w:tc>
      </w:tr>
      <w:tr w14:paraId="0A911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75" w:type="dxa"/>
            <w:tcBorders>
              <w:top w:val="single" w:color="auto" w:sz="4" w:space="0"/>
              <w:bottom w:val="single" w:color="auto" w:sz="4" w:space="0"/>
            </w:tcBorders>
            <w:shd w:val="clear" w:color="auto" w:fill="auto"/>
            <w:vAlign w:val="center"/>
          </w:tcPr>
          <w:p w14:paraId="5496D323">
            <w:pPr>
              <w:widowControl/>
              <w:ind w:left="422" w:leftChars="0" w:hanging="422"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w:t>
            </w:r>
          </w:p>
        </w:tc>
        <w:tc>
          <w:tcPr>
            <w:tcW w:w="1224" w:type="dxa"/>
            <w:tcBorders>
              <w:top w:val="single" w:color="auto" w:sz="4" w:space="0"/>
              <w:bottom w:val="single" w:color="auto" w:sz="4" w:space="0"/>
            </w:tcBorders>
            <w:shd w:val="clear" w:color="auto" w:fill="auto"/>
            <w:vAlign w:val="center"/>
          </w:tcPr>
          <w:p w14:paraId="30850C47">
            <w:pPr>
              <w:widowControl/>
              <w:ind w:left="0" w:leftChars="0"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lang w:eastAsia="zh-CN"/>
              </w:rPr>
              <w:t>类似</w:t>
            </w:r>
            <w:r>
              <w:rPr>
                <w:rFonts w:hint="eastAsia" w:ascii="宋体" w:hAnsi="宋体" w:eastAsia="宋体" w:cs="宋体"/>
                <w:color w:val="auto"/>
                <w:sz w:val="24"/>
                <w:szCs w:val="24"/>
              </w:rPr>
              <w:t>业绩</w:t>
            </w:r>
          </w:p>
        </w:tc>
        <w:tc>
          <w:tcPr>
            <w:tcW w:w="793" w:type="dxa"/>
            <w:tcBorders>
              <w:top w:val="single" w:color="auto" w:sz="4" w:space="0"/>
              <w:bottom w:val="single" w:color="auto" w:sz="4" w:space="0"/>
            </w:tcBorders>
            <w:shd w:val="clear" w:color="auto" w:fill="auto"/>
            <w:vAlign w:val="center"/>
          </w:tcPr>
          <w:p w14:paraId="09575A05">
            <w:pPr>
              <w:widowControl/>
              <w:ind w:left="420" w:leftChars="0" w:hanging="420" w:firstLineChars="0"/>
              <w:jc w:val="center"/>
              <w:rPr>
                <w:rFonts w:hint="eastAsia" w:ascii="宋体" w:hAnsi="宋体" w:eastAsia="宋体" w:cs="宋体"/>
                <w:color w:val="auto"/>
                <w:kern w:val="0"/>
                <w:sz w:val="24"/>
                <w:szCs w:val="24"/>
                <w:lang w:val="en-US" w:eastAsia="zh-CN" w:bidi="ar-SA"/>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分</w:t>
            </w:r>
          </w:p>
        </w:tc>
        <w:tc>
          <w:tcPr>
            <w:tcW w:w="6209" w:type="dxa"/>
            <w:tcBorders>
              <w:top w:val="single" w:color="auto" w:sz="4" w:space="0"/>
              <w:bottom w:val="single" w:color="auto" w:sz="4" w:space="0"/>
            </w:tcBorders>
            <w:shd w:val="clear" w:color="auto" w:fill="auto"/>
            <w:vAlign w:val="center"/>
          </w:tcPr>
          <w:p w14:paraId="52F7B11C">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lang w:val="en-US" w:eastAsia="zh-CN"/>
              </w:rPr>
              <w:t>自2022年1月至今有一项同类业绩的得2分，得够标准分为止。</w:t>
            </w:r>
          </w:p>
          <w:p w14:paraId="6A04B955">
            <w:pPr>
              <w:keepNext w:val="0"/>
              <w:keepLines w:val="0"/>
              <w:pageBreakBefore w:val="0"/>
              <w:widowControl w:val="0"/>
              <w:kinsoku/>
              <w:wordWrap/>
              <w:overflowPunct/>
              <w:topLinePunct w:val="0"/>
              <w:bidi w:val="0"/>
              <w:snapToGrid/>
              <w:spacing w:line="240" w:lineRule="auto"/>
              <w:ind w:firstLine="482"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备注：须在响应文件正副本中提供中标（成交）通知书或合同的复印件并加盖供应商公章，未按要求提供的不得分。</w:t>
            </w:r>
          </w:p>
        </w:tc>
      </w:tr>
      <w:tr w14:paraId="7A458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75" w:type="dxa"/>
            <w:vMerge w:val="restart"/>
            <w:tcBorders>
              <w:top w:val="single" w:color="auto" w:sz="4" w:space="0"/>
            </w:tcBorders>
            <w:shd w:val="clear" w:color="auto" w:fill="auto"/>
            <w:vAlign w:val="center"/>
          </w:tcPr>
          <w:p w14:paraId="09E2ABED">
            <w:pPr>
              <w:widowControl/>
              <w:ind w:left="422" w:leftChars="0" w:hanging="422"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224" w:type="dxa"/>
            <w:vMerge w:val="restart"/>
            <w:tcBorders>
              <w:top w:val="single" w:color="auto" w:sz="4" w:space="0"/>
            </w:tcBorders>
            <w:shd w:val="clear" w:color="auto" w:fill="auto"/>
            <w:vAlign w:val="center"/>
          </w:tcPr>
          <w:p w14:paraId="2A5BD411">
            <w:pPr>
              <w:widowControl/>
              <w:ind w:left="0" w:leftChars="0"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团队人员配备</w:t>
            </w:r>
          </w:p>
        </w:tc>
        <w:tc>
          <w:tcPr>
            <w:tcW w:w="793" w:type="dxa"/>
            <w:tcBorders>
              <w:top w:val="single" w:color="auto" w:sz="4" w:space="0"/>
              <w:bottom w:val="single" w:color="auto" w:sz="4" w:space="0"/>
            </w:tcBorders>
            <w:shd w:val="clear" w:color="auto" w:fill="auto"/>
            <w:vAlign w:val="center"/>
          </w:tcPr>
          <w:p w14:paraId="16B6C3EB">
            <w:pPr>
              <w:widowControl/>
              <w:ind w:left="420" w:leftChars="0" w:hanging="420" w:firstLineChars="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p>
        </w:tc>
        <w:tc>
          <w:tcPr>
            <w:tcW w:w="6209" w:type="dxa"/>
            <w:tcBorders>
              <w:top w:val="single" w:color="auto" w:sz="4" w:space="0"/>
              <w:bottom w:val="single" w:color="auto" w:sz="4" w:space="0"/>
            </w:tcBorders>
            <w:shd w:val="clear" w:color="auto" w:fill="auto"/>
            <w:vAlign w:val="center"/>
          </w:tcPr>
          <w:p w14:paraId="5C7BBFFE">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lang w:val="en-US" w:eastAsia="zh-CN"/>
              </w:rPr>
              <w:t>拟派首席专家具有正高职称或教授级职称的并参与项目指导的得</w:t>
            </w:r>
            <w:r>
              <w:rPr>
                <w:rFonts w:hint="eastAsia" w:ascii="宋体" w:hAnsi="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lang w:val="en-US" w:eastAsia="zh-CN"/>
              </w:rPr>
              <w:t>分；拟派首席专家具有高级职称（含）并参与项目指导的得2分，拟定首席专家为高级以下的不得分。</w:t>
            </w:r>
          </w:p>
          <w:p w14:paraId="494B9B79">
            <w:pPr>
              <w:keepNext w:val="0"/>
              <w:keepLines w:val="0"/>
              <w:pageBreakBefore w:val="0"/>
              <w:widowControl w:val="0"/>
              <w:kinsoku/>
              <w:wordWrap/>
              <w:overflowPunct/>
              <w:topLinePunct w:val="0"/>
              <w:bidi w:val="0"/>
              <w:snapToGrid/>
              <w:spacing w:line="240" w:lineRule="auto"/>
              <w:ind w:firstLine="482"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备注：须在</w:t>
            </w:r>
            <w:r>
              <w:rPr>
                <w:rFonts w:hint="eastAsia" w:ascii="宋体" w:hAnsi="宋体" w:cs="宋体"/>
                <w:b/>
                <w:bCs/>
                <w:i w:val="0"/>
                <w:iCs w:val="0"/>
                <w:color w:val="auto"/>
                <w:sz w:val="24"/>
                <w:szCs w:val="24"/>
                <w:highlight w:val="none"/>
                <w:lang w:val="en-US" w:eastAsia="zh-CN"/>
              </w:rPr>
              <w:t>响应</w:t>
            </w:r>
            <w:r>
              <w:rPr>
                <w:rFonts w:hint="eastAsia" w:ascii="宋体" w:hAnsi="宋体" w:eastAsia="宋体" w:cs="宋体"/>
                <w:b/>
                <w:bCs/>
                <w:i w:val="0"/>
                <w:iCs w:val="0"/>
                <w:color w:val="auto"/>
                <w:sz w:val="24"/>
                <w:szCs w:val="24"/>
                <w:highlight w:val="none"/>
                <w:lang w:val="en-US" w:eastAsia="zh-CN"/>
              </w:rPr>
              <w:t>文件中提供拟定首席专家的相关证书或职称证、聘书原件扫描件并加盖</w:t>
            </w:r>
            <w:r>
              <w:rPr>
                <w:rFonts w:hint="eastAsia" w:ascii="宋体" w:hAnsi="宋体" w:cs="宋体"/>
                <w:b/>
                <w:bCs/>
                <w:i w:val="0"/>
                <w:iCs w:val="0"/>
                <w:color w:val="auto"/>
                <w:sz w:val="24"/>
                <w:szCs w:val="24"/>
                <w:highlight w:val="none"/>
                <w:lang w:val="en-US" w:eastAsia="zh-CN"/>
              </w:rPr>
              <w:t>供应商</w:t>
            </w:r>
            <w:r>
              <w:rPr>
                <w:rFonts w:hint="eastAsia" w:ascii="宋体" w:hAnsi="宋体" w:eastAsia="宋体" w:cs="宋体"/>
                <w:b/>
                <w:bCs/>
                <w:i w:val="0"/>
                <w:iCs w:val="0"/>
                <w:color w:val="auto"/>
                <w:sz w:val="24"/>
                <w:szCs w:val="24"/>
                <w:highlight w:val="none"/>
                <w:lang w:val="en-US" w:eastAsia="zh-CN"/>
              </w:rPr>
              <w:t>公章，未按要求提供的不得分。</w:t>
            </w:r>
          </w:p>
        </w:tc>
      </w:tr>
      <w:tr w14:paraId="21BC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75" w:type="dxa"/>
            <w:vMerge w:val="continue"/>
            <w:shd w:val="clear" w:color="auto" w:fill="auto"/>
            <w:vAlign w:val="center"/>
          </w:tcPr>
          <w:p w14:paraId="06108FC8">
            <w:pPr>
              <w:widowControl/>
              <w:ind w:left="422" w:leftChars="0" w:hanging="422" w:firstLineChars="0"/>
              <w:jc w:val="center"/>
              <w:rPr>
                <w:rFonts w:hint="eastAsia" w:ascii="宋体" w:hAnsi="宋体" w:eastAsia="宋体" w:cs="宋体"/>
                <w:color w:val="auto"/>
                <w:sz w:val="24"/>
                <w:szCs w:val="24"/>
                <w:lang w:val="en-US" w:eastAsia="zh-CN"/>
              </w:rPr>
            </w:pPr>
          </w:p>
        </w:tc>
        <w:tc>
          <w:tcPr>
            <w:tcW w:w="1224" w:type="dxa"/>
            <w:vMerge w:val="continue"/>
            <w:shd w:val="clear" w:color="auto" w:fill="auto"/>
            <w:vAlign w:val="center"/>
          </w:tcPr>
          <w:p w14:paraId="503F6B44">
            <w:pPr>
              <w:widowControl/>
              <w:jc w:val="center"/>
              <w:rPr>
                <w:rFonts w:hint="eastAsia" w:ascii="宋体" w:hAnsi="宋体" w:eastAsia="宋体" w:cs="宋体"/>
                <w:color w:val="auto"/>
                <w:sz w:val="24"/>
                <w:szCs w:val="24"/>
                <w:lang w:eastAsia="zh-CN"/>
              </w:rPr>
            </w:pPr>
          </w:p>
        </w:tc>
        <w:tc>
          <w:tcPr>
            <w:tcW w:w="793" w:type="dxa"/>
            <w:tcBorders>
              <w:top w:val="single" w:color="auto" w:sz="4" w:space="0"/>
              <w:bottom w:val="single" w:color="auto" w:sz="4" w:space="0"/>
            </w:tcBorders>
            <w:shd w:val="clear" w:color="auto" w:fill="auto"/>
            <w:vAlign w:val="center"/>
          </w:tcPr>
          <w:p w14:paraId="2B7AEE1B">
            <w:pPr>
              <w:widowControl/>
              <w:ind w:left="420" w:leftChars="0" w:hanging="42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5分</w:t>
            </w:r>
          </w:p>
        </w:tc>
        <w:tc>
          <w:tcPr>
            <w:tcW w:w="6209" w:type="dxa"/>
            <w:tcBorders>
              <w:top w:val="single" w:color="auto" w:sz="4" w:space="0"/>
              <w:bottom w:val="single" w:color="auto" w:sz="4" w:space="0"/>
            </w:tcBorders>
            <w:shd w:val="clear" w:color="auto" w:fill="auto"/>
            <w:vAlign w:val="center"/>
          </w:tcPr>
          <w:p w14:paraId="2ABB95C6">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管理人员不少于</w:t>
            </w:r>
            <w:r>
              <w:rPr>
                <w:rFonts w:hint="eastAsia" w:ascii="宋体" w:hAnsi="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en-US" w:eastAsia="zh-CN"/>
              </w:rPr>
              <w:t>人（含</w:t>
            </w:r>
            <w:r>
              <w:rPr>
                <w:rFonts w:hint="eastAsia" w:ascii="宋体" w:hAnsi="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en-US" w:eastAsia="zh-CN"/>
              </w:rPr>
              <w:t>人）的得2分，每增加1人加1分，加至标准分5分为止。</w:t>
            </w:r>
          </w:p>
          <w:p w14:paraId="5A97B2A7">
            <w:pPr>
              <w:keepNext w:val="0"/>
              <w:keepLines w:val="0"/>
              <w:pageBreakBefore w:val="0"/>
              <w:widowControl w:val="0"/>
              <w:kinsoku/>
              <w:wordWrap/>
              <w:overflowPunct/>
              <w:topLinePunct w:val="0"/>
              <w:bidi w:val="0"/>
              <w:snapToGrid/>
              <w:spacing w:line="240" w:lineRule="auto"/>
              <w:ind w:firstLine="482"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备注：须在</w:t>
            </w:r>
            <w:r>
              <w:rPr>
                <w:rFonts w:hint="eastAsia" w:ascii="宋体" w:hAnsi="宋体" w:cs="宋体"/>
                <w:b/>
                <w:bCs/>
                <w:i w:val="0"/>
                <w:iCs w:val="0"/>
                <w:color w:val="auto"/>
                <w:sz w:val="24"/>
                <w:szCs w:val="24"/>
                <w:highlight w:val="none"/>
                <w:lang w:val="en-US" w:eastAsia="zh-CN"/>
              </w:rPr>
              <w:t>响应</w:t>
            </w:r>
            <w:r>
              <w:rPr>
                <w:rFonts w:hint="eastAsia" w:ascii="宋体" w:hAnsi="宋体" w:eastAsia="宋体" w:cs="宋体"/>
                <w:b/>
                <w:bCs/>
                <w:i w:val="0"/>
                <w:iCs w:val="0"/>
                <w:color w:val="auto"/>
                <w:sz w:val="24"/>
                <w:szCs w:val="24"/>
                <w:highlight w:val="none"/>
                <w:lang w:val="en-US" w:eastAsia="zh-CN"/>
              </w:rPr>
              <w:t>文件中提供人员名单</w:t>
            </w:r>
            <w:r>
              <w:rPr>
                <w:rFonts w:hint="eastAsia" w:ascii="宋体" w:hAnsi="宋体" w:cs="宋体"/>
                <w:b/>
                <w:bCs/>
                <w:i w:val="0"/>
                <w:iCs w:val="0"/>
                <w:color w:val="auto"/>
                <w:sz w:val="24"/>
                <w:szCs w:val="24"/>
                <w:highlight w:val="none"/>
                <w:lang w:val="en-US" w:eastAsia="zh-CN"/>
              </w:rPr>
              <w:t>（须体现人员信息及岗位职责）</w:t>
            </w:r>
            <w:r>
              <w:rPr>
                <w:rFonts w:hint="eastAsia" w:ascii="宋体" w:hAnsi="宋体" w:eastAsia="宋体" w:cs="宋体"/>
                <w:b/>
                <w:bCs/>
                <w:i w:val="0"/>
                <w:iCs w:val="0"/>
                <w:color w:val="auto"/>
                <w:sz w:val="24"/>
                <w:szCs w:val="24"/>
                <w:highlight w:val="none"/>
                <w:lang w:val="en-US" w:eastAsia="zh-CN"/>
              </w:rPr>
              <w:t>并加盖</w:t>
            </w:r>
            <w:r>
              <w:rPr>
                <w:rFonts w:hint="eastAsia" w:ascii="宋体" w:hAnsi="宋体" w:cs="宋体"/>
                <w:b/>
                <w:bCs/>
                <w:i w:val="0"/>
                <w:iCs w:val="0"/>
                <w:color w:val="auto"/>
                <w:sz w:val="24"/>
                <w:szCs w:val="24"/>
                <w:highlight w:val="none"/>
                <w:lang w:val="en-US" w:eastAsia="zh-CN"/>
              </w:rPr>
              <w:t>供应商</w:t>
            </w:r>
            <w:r>
              <w:rPr>
                <w:rFonts w:hint="eastAsia" w:ascii="宋体" w:hAnsi="宋体" w:eastAsia="宋体" w:cs="宋体"/>
                <w:b/>
                <w:bCs/>
                <w:i w:val="0"/>
                <w:iCs w:val="0"/>
                <w:color w:val="auto"/>
                <w:sz w:val="24"/>
                <w:szCs w:val="24"/>
                <w:highlight w:val="none"/>
                <w:lang w:val="en-US" w:eastAsia="zh-CN"/>
              </w:rPr>
              <w:t>公章，未按要求提供的不得分。</w:t>
            </w:r>
          </w:p>
        </w:tc>
      </w:tr>
      <w:tr w14:paraId="261F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75" w:type="dxa"/>
            <w:vMerge w:val="continue"/>
            <w:shd w:val="clear" w:color="auto" w:fill="auto"/>
            <w:vAlign w:val="center"/>
          </w:tcPr>
          <w:p w14:paraId="2C7C7E96">
            <w:pPr>
              <w:widowControl/>
              <w:ind w:left="422" w:leftChars="0" w:hanging="422" w:firstLineChars="0"/>
              <w:jc w:val="center"/>
              <w:rPr>
                <w:rFonts w:hint="eastAsia" w:ascii="宋体" w:hAnsi="宋体" w:eastAsia="宋体" w:cs="宋体"/>
                <w:color w:val="auto"/>
                <w:sz w:val="24"/>
                <w:szCs w:val="24"/>
                <w:lang w:val="en-US" w:eastAsia="zh-CN"/>
              </w:rPr>
            </w:pPr>
          </w:p>
        </w:tc>
        <w:tc>
          <w:tcPr>
            <w:tcW w:w="1224" w:type="dxa"/>
            <w:vMerge w:val="continue"/>
            <w:shd w:val="clear" w:color="auto" w:fill="auto"/>
            <w:vAlign w:val="center"/>
          </w:tcPr>
          <w:p w14:paraId="27771BC5">
            <w:pPr>
              <w:widowControl/>
              <w:jc w:val="center"/>
              <w:rPr>
                <w:rFonts w:hint="eastAsia" w:ascii="宋体" w:hAnsi="宋体" w:eastAsia="宋体" w:cs="宋体"/>
                <w:color w:val="auto"/>
                <w:sz w:val="24"/>
                <w:szCs w:val="24"/>
                <w:lang w:eastAsia="zh-CN"/>
              </w:rPr>
            </w:pPr>
          </w:p>
        </w:tc>
        <w:tc>
          <w:tcPr>
            <w:tcW w:w="793" w:type="dxa"/>
            <w:tcBorders>
              <w:top w:val="single" w:color="auto" w:sz="4" w:space="0"/>
              <w:bottom w:val="single" w:color="auto" w:sz="4" w:space="0"/>
            </w:tcBorders>
            <w:shd w:val="clear" w:color="auto" w:fill="auto"/>
            <w:vAlign w:val="center"/>
          </w:tcPr>
          <w:p w14:paraId="0241C6A0">
            <w:pPr>
              <w:widowControl/>
              <w:ind w:left="420" w:leftChars="0" w:hanging="420" w:firstLineChars="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w:t>
            </w:r>
          </w:p>
        </w:tc>
        <w:tc>
          <w:tcPr>
            <w:tcW w:w="6209" w:type="dxa"/>
            <w:tcBorders>
              <w:top w:val="single" w:color="auto" w:sz="4" w:space="0"/>
              <w:bottom w:val="single" w:color="auto" w:sz="4" w:space="0"/>
            </w:tcBorders>
            <w:shd w:val="clear" w:color="auto" w:fill="auto"/>
            <w:vAlign w:val="center"/>
          </w:tcPr>
          <w:p w14:paraId="196D5EC5">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lang w:val="en-US" w:eastAsia="zh-CN"/>
              </w:rPr>
              <w:t>拟定授课教师（除首席专家外）中每有1名正高级职称专家的加2分，每具有1名副高级的加1分，加至标准分</w:t>
            </w:r>
            <w:r>
              <w:rPr>
                <w:rFonts w:hint="eastAsia" w:ascii="宋体" w:hAnsi="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lang w:val="en-US" w:eastAsia="zh-CN"/>
              </w:rPr>
              <w:t>分为止。</w:t>
            </w:r>
          </w:p>
          <w:p w14:paraId="5B947B99">
            <w:pPr>
              <w:keepNext w:val="0"/>
              <w:keepLines w:val="0"/>
              <w:pageBreakBefore w:val="0"/>
              <w:widowControl w:val="0"/>
              <w:kinsoku/>
              <w:wordWrap/>
              <w:overflowPunct/>
              <w:topLinePunct w:val="0"/>
              <w:bidi w:val="0"/>
              <w:snapToGrid/>
              <w:spacing w:line="240" w:lineRule="auto"/>
              <w:ind w:firstLine="482" w:firstLineChars="200"/>
              <w:textAlignment w:val="auto"/>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备注：须在</w:t>
            </w:r>
            <w:r>
              <w:rPr>
                <w:rFonts w:hint="eastAsia" w:ascii="宋体" w:hAnsi="宋体" w:cs="宋体"/>
                <w:b/>
                <w:bCs/>
                <w:i w:val="0"/>
                <w:iCs w:val="0"/>
                <w:color w:val="auto"/>
                <w:sz w:val="24"/>
                <w:szCs w:val="24"/>
                <w:highlight w:val="none"/>
                <w:lang w:val="en-US" w:eastAsia="zh-CN"/>
              </w:rPr>
              <w:t>响应</w:t>
            </w:r>
            <w:r>
              <w:rPr>
                <w:rFonts w:hint="eastAsia" w:ascii="宋体" w:hAnsi="宋体" w:eastAsia="宋体" w:cs="宋体"/>
                <w:b/>
                <w:bCs/>
                <w:i w:val="0"/>
                <w:iCs w:val="0"/>
                <w:color w:val="auto"/>
                <w:sz w:val="24"/>
                <w:szCs w:val="24"/>
                <w:highlight w:val="none"/>
                <w:lang w:val="en-US" w:eastAsia="zh-CN"/>
              </w:rPr>
              <w:t>文件中提供人员名单及相关证明材料并加盖</w:t>
            </w:r>
            <w:r>
              <w:rPr>
                <w:rFonts w:hint="eastAsia" w:ascii="宋体" w:hAnsi="宋体" w:cs="宋体"/>
                <w:b/>
                <w:bCs/>
                <w:i w:val="0"/>
                <w:iCs w:val="0"/>
                <w:color w:val="auto"/>
                <w:sz w:val="24"/>
                <w:szCs w:val="24"/>
                <w:highlight w:val="none"/>
                <w:lang w:val="en-US" w:eastAsia="zh-CN"/>
              </w:rPr>
              <w:t>供应商</w:t>
            </w:r>
            <w:r>
              <w:rPr>
                <w:rFonts w:hint="eastAsia" w:ascii="宋体" w:hAnsi="宋体" w:eastAsia="宋体" w:cs="宋体"/>
                <w:b/>
                <w:bCs/>
                <w:i w:val="0"/>
                <w:iCs w:val="0"/>
                <w:color w:val="auto"/>
                <w:sz w:val="24"/>
                <w:szCs w:val="24"/>
                <w:highlight w:val="none"/>
                <w:lang w:val="en-US" w:eastAsia="zh-CN"/>
              </w:rPr>
              <w:t>公章，未按要求提供的不得分。同一人员不得重复得分。</w:t>
            </w:r>
          </w:p>
        </w:tc>
      </w:tr>
      <w:tr w14:paraId="6B9D5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75" w:type="dxa"/>
            <w:tcBorders>
              <w:top w:val="single" w:color="auto" w:sz="4" w:space="0"/>
            </w:tcBorders>
            <w:shd w:val="clear" w:color="auto" w:fill="auto"/>
            <w:vAlign w:val="center"/>
          </w:tcPr>
          <w:p w14:paraId="18148B44">
            <w:pPr>
              <w:widowControl/>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224" w:type="dxa"/>
            <w:tcBorders>
              <w:top w:val="single" w:color="auto" w:sz="4" w:space="0"/>
            </w:tcBorders>
            <w:shd w:val="clear" w:color="auto" w:fill="auto"/>
            <w:vAlign w:val="center"/>
          </w:tcPr>
          <w:p w14:paraId="4CBC3695">
            <w:pPr>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培训目标</w:t>
            </w:r>
          </w:p>
        </w:tc>
        <w:tc>
          <w:tcPr>
            <w:tcW w:w="793" w:type="dxa"/>
            <w:tcBorders>
              <w:top w:val="single" w:color="auto" w:sz="4" w:space="0"/>
            </w:tcBorders>
            <w:shd w:val="clear" w:color="auto" w:fill="auto"/>
            <w:vAlign w:val="center"/>
          </w:tcPr>
          <w:p w14:paraId="2EFF510E">
            <w:pPr>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6分</w:t>
            </w:r>
          </w:p>
        </w:tc>
        <w:tc>
          <w:tcPr>
            <w:tcW w:w="6209" w:type="dxa"/>
            <w:tcBorders>
              <w:top w:val="single" w:color="auto" w:sz="4" w:space="0"/>
            </w:tcBorders>
            <w:shd w:val="clear" w:color="auto" w:fill="auto"/>
            <w:vAlign w:val="center"/>
          </w:tcPr>
          <w:p w14:paraId="32F2AB93">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lang w:val="en-US" w:eastAsia="zh-CN"/>
              </w:rPr>
              <w:t>应根据项目理解提供目标定位方案。</w:t>
            </w:r>
          </w:p>
          <w:p w14:paraId="39AE969D">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定位精准，指向明确，类别细分，注重参训教师专业知识、专业技能，目标具备可测性的得6分；</w:t>
            </w:r>
          </w:p>
          <w:p w14:paraId="7DF85379">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定位具体，指向较明确，可体现参训教师专业知识、专业技能，目标有可测性的得4分；</w:t>
            </w:r>
          </w:p>
          <w:p w14:paraId="6CD68EBA">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定位和</w:t>
            </w:r>
            <w:r>
              <w:rPr>
                <w:rFonts w:hint="eastAsia" w:ascii="宋体" w:hAnsi="宋体" w:eastAsia="宋体" w:cs="宋体"/>
                <w:i w:val="0"/>
                <w:iCs w:val="0"/>
                <w:color w:val="auto"/>
                <w:sz w:val="24"/>
                <w:szCs w:val="24"/>
                <w:highlight w:val="none"/>
                <w:lang w:val="en-US" w:eastAsia="zh-CN"/>
              </w:rPr>
              <w:t>指向不明确，</w:t>
            </w:r>
            <w:r>
              <w:rPr>
                <w:rFonts w:hint="eastAsia" w:ascii="宋体" w:hAnsi="宋体" w:cs="宋体"/>
                <w:i w:val="0"/>
                <w:iCs w:val="0"/>
                <w:color w:val="auto"/>
                <w:sz w:val="24"/>
                <w:szCs w:val="24"/>
                <w:highlight w:val="none"/>
                <w:lang w:val="en-US" w:eastAsia="zh-CN"/>
              </w:rPr>
              <w:t>无法体现参训教师专业知识及技能，</w:t>
            </w:r>
            <w:r>
              <w:rPr>
                <w:rFonts w:hint="eastAsia" w:ascii="宋体" w:hAnsi="宋体" w:eastAsia="宋体" w:cs="宋体"/>
                <w:i w:val="0"/>
                <w:iCs w:val="0"/>
                <w:color w:val="auto"/>
                <w:sz w:val="24"/>
                <w:szCs w:val="24"/>
                <w:highlight w:val="none"/>
                <w:lang w:val="en-US" w:eastAsia="zh-CN"/>
              </w:rPr>
              <w:t>目标没有可测性的得2分</w:t>
            </w:r>
            <w:r>
              <w:rPr>
                <w:rFonts w:hint="eastAsia" w:ascii="宋体" w:hAnsi="宋体" w:cs="宋体"/>
                <w:i w:val="0"/>
                <w:iCs w:val="0"/>
                <w:color w:val="auto"/>
                <w:sz w:val="24"/>
                <w:szCs w:val="24"/>
                <w:highlight w:val="none"/>
                <w:lang w:val="en-US" w:eastAsia="zh-CN"/>
              </w:rPr>
              <w:t>；</w:t>
            </w:r>
          </w:p>
          <w:p w14:paraId="761E4597">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未提供相关内容阐述的不得分。</w:t>
            </w:r>
          </w:p>
        </w:tc>
      </w:tr>
      <w:tr w14:paraId="789C4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75" w:type="dxa"/>
            <w:tcBorders>
              <w:top w:val="single" w:color="auto" w:sz="4" w:space="0"/>
            </w:tcBorders>
            <w:shd w:val="clear" w:color="auto" w:fill="auto"/>
            <w:vAlign w:val="center"/>
          </w:tcPr>
          <w:p w14:paraId="603DB8FA">
            <w:pPr>
              <w:widowControl/>
              <w:ind w:left="422" w:leftChars="0" w:hanging="422" w:firstLineChars="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p>
        </w:tc>
        <w:tc>
          <w:tcPr>
            <w:tcW w:w="1224" w:type="dxa"/>
            <w:tcBorders>
              <w:top w:val="single" w:color="auto" w:sz="4" w:space="0"/>
            </w:tcBorders>
            <w:shd w:val="clear" w:color="auto" w:fill="auto"/>
            <w:vAlign w:val="center"/>
          </w:tcPr>
          <w:p w14:paraId="5E019C60">
            <w:pPr>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培训内容设计课程设置方案</w:t>
            </w:r>
          </w:p>
        </w:tc>
        <w:tc>
          <w:tcPr>
            <w:tcW w:w="793" w:type="dxa"/>
            <w:tcBorders>
              <w:top w:val="single" w:color="auto" w:sz="4" w:space="0"/>
            </w:tcBorders>
            <w:shd w:val="clear" w:color="auto" w:fill="auto"/>
            <w:vAlign w:val="center"/>
          </w:tcPr>
          <w:p w14:paraId="3A7569B5">
            <w:pPr>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15分</w:t>
            </w:r>
          </w:p>
        </w:tc>
        <w:tc>
          <w:tcPr>
            <w:tcW w:w="6209" w:type="dxa"/>
            <w:tcBorders>
              <w:top w:val="single" w:color="auto" w:sz="4" w:space="0"/>
            </w:tcBorders>
            <w:shd w:val="clear" w:color="auto" w:fill="auto"/>
            <w:vAlign w:val="center"/>
          </w:tcPr>
          <w:p w14:paraId="75E25B55">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lang w:val="en-US" w:eastAsia="zh-CN"/>
              </w:rPr>
              <w:t>应根据项目服务要求提供培训内容及课程设置方案，包括：①课程内容设置②针对性、实践性③培训课程计划④创新培训模式和评价模式⑤理论性课程与实践性课程安排；</w:t>
            </w:r>
          </w:p>
          <w:p w14:paraId="4CA7F799">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上述①-⑤项方案内容，每有一项基本完整，表述清晰、准确的得2分，共计10分；以此为基础，投标人方案中针对上述模块每有一项有针对方案内容进行细化、内容完整详实、编制合理且具有针对性、特点突出、特色鲜明的再加1分，加至标准分为止。投标人方案中针对上述模块每有一处缺陷或不足的减1分，每缺失一个模块内容的减3分，减完为止。</w:t>
            </w:r>
          </w:p>
          <w:p w14:paraId="25DE1039">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注：存在缺陷或不足是指以下任意一种情形：与采购人实际采购需求不符、无可行性或可操作性、内容不够细化、内容前后矛盾或不一致、内容套用其他项目、凭空编造、常识性错误以及不可能实现的夸大情形等。</w:t>
            </w:r>
          </w:p>
        </w:tc>
      </w:tr>
      <w:tr w14:paraId="170D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75" w:type="dxa"/>
            <w:tcBorders>
              <w:top w:val="single" w:color="auto" w:sz="4" w:space="0"/>
            </w:tcBorders>
            <w:shd w:val="clear" w:color="auto" w:fill="auto"/>
            <w:vAlign w:val="center"/>
          </w:tcPr>
          <w:p w14:paraId="3A1092C6">
            <w:pPr>
              <w:widowControl/>
              <w:ind w:left="422" w:leftChars="0" w:hanging="422" w:firstLineChars="0"/>
              <w:jc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p>
        </w:tc>
        <w:tc>
          <w:tcPr>
            <w:tcW w:w="1224" w:type="dxa"/>
            <w:tcBorders>
              <w:top w:val="single" w:color="auto" w:sz="4" w:space="0"/>
            </w:tcBorders>
            <w:shd w:val="clear" w:color="auto" w:fill="auto"/>
            <w:vAlign w:val="center"/>
          </w:tcPr>
          <w:p w14:paraId="3ED8FF66">
            <w:pPr>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培训方式</w:t>
            </w:r>
          </w:p>
          <w:p w14:paraId="4924FAE5">
            <w:pPr>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方案</w:t>
            </w:r>
          </w:p>
        </w:tc>
        <w:tc>
          <w:tcPr>
            <w:tcW w:w="793" w:type="dxa"/>
            <w:tcBorders>
              <w:top w:val="single" w:color="auto" w:sz="4" w:space="0"/>
            </w:tcBorders>
            <w:shd w:val="clear" w:color="auto" w:fill="auto"/>
            <w:vAlign w:val="center"/>
          </w:tcPr>
          <w:p w14:paraId="582C4087">
            <w:pPr>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lang w:val="en-US" w:eastAsia="zh-CN"/>
              </w:rPr>
              <w:t>分</w:t>
            </w:r>
          </w:p>
        </w:tc>
        <w:tc>
          <w:tcPr>
            <w:tcW w:w="6209" w:type="dxa"/>
            <w:tcBorders>
              <w:top w:val="single" w:color="auto" w:sz="4" w:space="0"/>
            </w:tcBorders>
            <w:shd w:val="clear" w:color="auto" w:fill="auto"/>
            <w:vAlign w:val="center"/>
          </w:tcPr>
          <w:p w14:paraId="20536B59">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lang w:val="en-US" w:eastAsia="zh-CN"/>
              </w:rPr>
              <w:t>应根据项目服务要求提供相应的培训方式方案，应包含多元化培训模式，及如何进行实践与理论相结合</w:t>
            </w:r>
            <w:r>
              <w:rPr>
                <w:rFonts w:hint="eastAsia" w:ascii="宋体" w:hAnsi="宋体" w:cs="宋体"/>
                <w:i w:val="0"/>
                <w:iCs w:val="0"/>
                <w:color w:val="auto"/>
                <w:sz w:val="24"/>
                <w:szCs w:val="24"/>
                <w:highlight w:val="none"/>
                <w:lang w:val="en-US" w:eastAsia="zh-CN"/>
              </w:rPr>
              <w:t>等</w:t>
            </w:r>
            <w:r>
              <w:rPr>
                <w:rFonts w:hint="eastAsia" w:ascii="宋体" w:hAnsi="宋体" w:eastAsia="宋体" w:cs="宋体"/>
                <w:i w:val="0"/>
                <w:iCs w:val="0"/>
                <w:color w:val="auto"/>
                <w:sz w:val="24"/>
                <w:szCs w:val="24"/>
                <w:highlight w:val="none"/>
                <w:lang w:val="en-US" w:eastAsia="zh-CN"/>
              </w:rPr>
              <w:t>。</w:t>
            </w:r>
          </w:p>
          <w:p w14:paraId="7AD0FBBE">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培训方式多样，内容及形式具有创新性，吸引力和实效性，能够完全达到本项目培训目标预期的得</w:t>
            </w:r>
            <w:r>
              <w:rPr>
                <w:rFonts w:hint="eastAsia" w:ascii="宋体" w:hAnsi="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lang w:val="en-US" w:eastAsia="zh-CN"/>
              </w:rPr>
              <w:t>分；</w:t>
            </w:r>
          </w:p>
          <w:p w14:paraId="0FF0734F">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培训方式可满足培训目标，方式通用无亮点的得</w:t>
            </w:r>
            <w:r>
              <w:rPr>
                <w:rFonts w:hint="eastAsia" w:ascii="宋体" w:hAnsi="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val="en-US" w:eastAsia="zh-CN"/>
              </w:rPr>
              <w:t>分；</w:t>
            </w:r>
          </w:p>
          <w:p w14:paraId="5B29C75C">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培训方式单一，不能够调动学员主动性和创新性的得</w:t>
            </w:r>
            <w:r>
              <w:rPr>
                <w:rFonts w:hint="eastAsia" w:ascii="宋体" w:hAnsi="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en-US" w:eastAsia="zh-CN"/>
              </w:rPr>
              <w:t>分；</w:t>
            </w:r>
          </w:p>
          <w:p w14:paraId="0D65EBFC">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未提供相关内容阐述的不得分。</w:t>
            </w:r>
          </w:p>
        </w:tc>
      </w:tr>
      <w:tr w14:paraId="1E1C1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75" w:type="dxa"/>
            <w:tcBorders>
              <w:top w:val="single" w:color="auto" w:sz="4" w:space="0"/>
            </w:tcBorders>
            <w:shd w:val="clear" w:color="auto" w:fill="auto"/>
            <w:vAlign w:val="center"/>
          </w:tcPr>
          <w:p w14:paraId="18F122CD">
            <w:pPr>
              <w:widowControl/>
              <w:ind w:left="422" w:leftChars="0" w:hanging="422" w:firstLineChars="0"/>
              <w:jc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p>
        </w:tc>
        <w:tc>
          <w:tcPr>
            <w:tcW w:w="1224" w:type="dxa"/>
            <w:tcBorders>
              <w:top w:val="single" w:color="auto" w:sz="4" w:space="0"/>
            </w:tcBorders>
            <w:shd w:val="clear" w:color="auto" w:fill="auto"/>
            <w:vAlign w:val="center"/>
          </w:tcPr>
          <w:p w14:paraId="17CA80F1">
            <w:pPr>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管理提供考核评价</w:t>
            </w:r>
          </w:p>
        </w:tc>
        <w:tc>
          <w:tcPr>
            <w:tcW w:w="793" w:type="dxa"/>
            <w:tcBorders>
              <w:top w:val="single" w:color="auto" w:sz="4" w:space="0"/>
            </w:tcBorders>
            <w:shd w:val="clear" w:color="auto" w:fill="auto"/>
            <w:vAlign w:val="center"/>
          </w:tcPr>
          <w:p w14:paraId="7603934A">
            <w:pPr>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lang w:val="en-US" w:eastAsia="zh-CN"/>
              </w:rPr>
              <w:t>分</w:t>
            </w:r>
          </w:p>
        </w:tc>
        <w:tc>
          <w:tcPr>
            <w:tcW w:w="6209" w:type="dxa"/>
            <w:tcBorders>
              <w:top w:val="single" w:color="auto" w:sz="4" w:space="0"/>
            </w:tcBorders>
            <w:shd w:val="clear" w:color="auto" w:fill="auto"/>
            <w:vAlign w:val="center"/>
          </w:tcPr>
          <w:p w14:paraId="6FB0B4F4">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lang w:val="en-US" w:eastAsia="zh-CN"/>
              </w:rPr>
              <w:t>应根据项目服务要求提供考核评价，内容包含不限于班级管理制度、学情管理制度、过程性评价细则、终结性评价体系等内容。</w:t>
            </w:r>
          </w:p>
          <w:p w14:paraId="6C0EFF3D">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考核评价体系完整，方式规范，指标设计科学，能够过程性评价与终结性评价相结合，贴合本项目的得</w:t>
            </w:r>
            <w:r>
              <w:rPr>
                <w:rFonts w:hint="eastAsia" w:ascii="宋体" w:hAnsi="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lang w:val="en-US" w:eastAsia="zh-CN"/>
              </w:rPr>
              <w:t>分；</w:t>
            </w:r>
          </w:p>
          <w:p w14:paraId="48DD176B">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方案阐述包含上述模块，考核评价体系、制度编制通用，无明显针对性，但能满足基本要求的得</w:t>
            </w:r>
            <w:r>
              <w:rPr>
                <w:rFonts w:hint="eastAsia" w:ascii="宋体" w:hAnsi="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val="en-US" w:eastAsia="zh-CN"/>
              </w:rPr>
              <w:t>分；</w:t>
            </w:r>
          </w:p>
          <w:p w14:paraId="74172FF6">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方案编制未能涵盖上述模块，制度、评价体系等要求模糊的得</w:t>
            </w:r>
            <w:r>
              <w:rPr>
                <w:rFonts w:hint="eastAsia" w:ascii="宋体" w:hAnsi="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en-US" w:eastAsia="zh-CN"/>
              </w:rPr>
              <w:t>分</w:t>
            </w:r>
            <w:r>
              <w:rPr>
                <w:rFonts w:hint="eastAsia" w:ascii="宋体" w:hAnsi="宋体" w:cs="宋体"/>
                <w:i w:val="0"/>
                <w:iCs w:val="0"/>
                <w:color w:val="auto"/>
                <w:sz w:val="24"/>
                <w:szCs w:val="24"/>
                <w:highlight w:val="none"/>
                <w:lang w:val="en-US" w:eastAsia="zh-CN"/>
              </w:rPr>
              <w:t>；</w:t>
            </w:r>
          </w:p>
          <w:p w14:paraId="2057D0BB">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未提供相关内容阐述不得分。</w:t>
            </w:r>
          </w:p>
        </w:tc>
      </w:tr>
      <w:tr w14:paraId="464AA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75" w:type="dxa"/>
            <w:tcBorders>
              <w:top w:val="single" w:color="auto" w:sz="4" w:space="0"/>
            </w:tcBorders>
            <w:shd w:val="clear" w:color="auto" w:fill="auto"/>
            <w:vAlign w:val="center"/>
          </w:tcPr>
          <w:p w14:paraId="5B362D5C">
            <w:pPr>
              <w:widowControl/>
              <w:ind w:left="422" w:leftChars="0" w:hanging="422" w:firstLineChars="0"/>
              <w:jc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9</w:t>
            </w:r>
          </w:p>
        </w:tc>
        <w:tc>
          <w:tcPr>
            <w:tcW w:w="1224" w:type="dxa"/>
            <w:tcBorders>
              <w:top w:val="single" w:color="auto" w:sz="4" w:space="0"/>
            </w:tcBorders>
            <w:shd w:val="clear" w:color="auto" w:fill="auto"/>
            <w:vAlign w:val="center"/>
          </w:tcPr>
          <w:p w14:paraId="7200380E">
            <w:pPr>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跟踪指导</w:t>
            </w:r>
          </w:p>
          <w:p w14:paraId="163D6533">
            <w:pPr>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方案</w:t>
            </w:r>
          </w:p>
        </w:tc>
        <w:tc>
          <w:tcPr>
            <w:tcW w:w="793" w:type="dxa"/>
            <w:tcBorders>
              <w:top w:val="single" w:color="auto" w:sz="4" w:space="0"/>
            </w:tcBorders>
            <w:shd w:val="clear" w:color="auto" w:fill="auto"/>
            <w:vAlign w:val="center"/>
          </w:tcPr>
          <w:p w14:paraId="46FBA15A">
            <w:pPr>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lang w:val="en-US" w:eastAsia="zh-CN"/>
              </w:rPr>
              <w:t>分</w:t>
            </w:r>
          </w:p>
        </w:tc>
        <w:tc>
          <w:tcPr>
            <w:tcW w:w="6209" w:type="dxa"/>
            <w:tcBorders>
              <w:top w:val="single" w:color="auto" w:sz="4" w:space="0"/>
            </w:tcBorders>
            <w:shd w:val="clear" w:color="auto" w:fill="auto"/>
            <w:vAlign w:val="center"/>
          </w:tcPr>
          <w:p w14:paraId="5817722F">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lang w:val="en-US" w:eastAsia="zh-CN"/>
              </w:rPr>
              <w:t>应根据项目对学员采用的训后跟踪指导的时间表和工作计划，提供跟踪指导方案。</w:t>
            </w:r>
          </w:p>
          <w:p w14:paraId="02BF5CC9">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学员训后跟踪指导设计具体，计划明晰，跟踪指导时间明确并安排专人负责，跟踪指导方式有效，</w:t>
            </w:r>
            <w:r>
              <w:rPr>
                <w:rFonts w:hint="eastAsia" w:ascii="宋体" w:hAnsi="宋体" w:cs="宋体"/>
                <w:i w:val="0"/>
                <w:iCs w:val="0"/>
                <w:color w:val="auto"/>
                <w:sz w:val="24"/>
                <w:szCs w:val="24"/>
                <w:highlight w:val="none"/>
                <w:lang w:val="en-US" w:eastAsia="zh-CN"/>
              </w:rPr>
              <w:t>能够</w:t>
            </w:r>
            <w:r>
              <w:rPr>
                <w:rFonts w:hint="eastAsia" w:ascii="宋体" w:hAnsi="宋体" w:eastAsia="宋体" w:cs="宋体"/>
                <w:i w:val="0"/>
                <w:iCs w:val="0"/>
                <w:color w:val="auto"/>
                <w:sz w:val="24"/>
                <w:szCs w:val="24"/>
                <w:highlight w:val="none"/>
                <w:lang w:val="en-US" w:eastAsia="zh-CN"/>
              </w:rPr>
              <w:t>推动学用结合，确保培训实效的得</w:t>
            </w:r>
            <w:r>
              <w:rPr>
                <w:rFonts w:hint="eastAsia" w:ascii="宋体" w:hAnsi="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lang w:val="en-US" w:eastAsia="zh-CN"/>
              </w:rPr>
              <w:t>分；</w:t>
            </w:r>
          </w:p>
          <w:p w14:paraId="0D7EE417">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学员训后跟踪指导设计、跟踪指导安排专人负责、指导方式基本有效，可以为教师训后学习提供服务的得</w:t>
            </w:r>
            <w:r>
              <w:rPr>
                <w:rFonts w:hint="eastAsia" w:ascii="宋体" w:hAnsi="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val="en-US" w:eastAsia="zh-CN"/>
              </w:rPr>
              <w:t>分。</w:t>
            </w:r>
          </w:p>
          <w:p w14:paraId="3106FF00">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学员训后跟踪指导设计基本规范，安排人员负责跟踪，有指导时间表和基本工作计划的得</w:t>
            </w:r>
            <w:r>
              <w:rPr>
                <w:rFonts w:hint="eastAsia" w:ascii="宋体" w:hAnsi="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en-US" w:eastAsia="zh-CN"/>
              </w:rPr>
              <w:t>分</w:t>
            </w:r>
            <w:r>
              <w:rPr>
                <w:rFonts w:hint="eastAsia" w:ascii="宋体" w:hAnsi="宋体" w:cs="宋体"/>
                <w:i w:val="0"/>
                <w:iCs w:val="0"/>
                <w:color w:val="auto"/>
                <w:sz w:val="24"/>
                <w:szCs w:val="24"/>
                <w:highlight w:val="none"/>
                <w:lang w:val="en-US" w:eastAsia="zh-CN"/>
              </w:rPr>
              <w:t>；</w:t>
            </w:r>
          </w:p>
          <w:p w14:paraId="6438E788">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未提供相关内容阐述不得分。</w:t>
            </w:r>
          </w:p>
        </w:tc>
      </w:tr>
      <w:tr w14:paraId="51504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75" w:type="dxa"/>
            <w:tcBorders>
              <w:top w:val="single" w:color="auto" w:sz="4" w:space="0"/>
            </w:tcBorders>
            <w:shd w:val="clear" w:color="auto" w:fill="auto"/>
            <w:vAlign w:val="center"/>
          </w:tcPr>
          <w:p w14:paraId="29529733">
            <w:pPr>
              <w:widowControl/>
              <w:ind w:left="422" w:leftChars="0" w:hanging="422" w:firstLineChars="0"/>
              <w:jc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p>
        </w:tc>
        <w:tc>
          <w:tcPr>
            <w:tcW w:w="1224" w:type="dxa"/>
            <w:tcBorders>
              <w:top w:val="single" w:color="auto" w:sz="4" w:space="0"/>
            </w:tcBorders>
            <w:shd w:val="clear" w:color="auto" w:fill="auto"/>
            <w:vAlign w:val="center"/>
          </w:tcPr>
          <w:p w14:paraId="295E52D6">
            <w:pPr>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后勤保障方案</w:t>
            </w:r>
          </w:p>
        </w:tc>
        <w:tc>
          <w:tcPr>
            <w:tcW w:w="793" w:type="dxa"/>
            <w:tcBorders>
              <w:top w:val="single" w:color="auto" w:sz="4" w:space="0"/>
            </w:tcBorders>
            <w:shd w:val="clear" w:color="auto" w:fill="auto"/>
            <w:vAlign w:val="center"/>
          </w:tcPr>
          <w:p w14:paraId="5B86552B">
            <w:pPr>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lang w:val="en-US" w:eastAsia="zh-CN"/>
              </w:rPr>
              <w:t>分</w:t>
            </w:r>
          </w:p>
        </w:tc>
        <w:tc>
          <w:tcPr>
            <w:tcW w:w="6209" w:type="dxa"/>
            <w:tcBorders>
              <w:top w:val="single" w:color="auto" w:sz="4" w:space="0"/>
            </w:tcBorders>
            <w:shd w:val="clear" w:color="auto" w:fill="auto"/>
            <w:vAlign w:val="center"/>
          </w:tcPr>
          <w:p w14:paraId="1D70ECC1">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lang w:val="en-US" w:eastAsia="zh-CN"/>
              </w:rPr>
              <w:t>应根据项目服务要求提供后勤保障方案。</w:t>
            </w:r>
          </w:p>
          <w:p w14:paraId="7176C009">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有固定、独立并能够满足培训人数需要的住宿、餐饮等生活设施，教学环境好、教学设备齐全，学员食宿条件、具备良好的医疗卫生条件</w:t>
            </w:r>
            <w:r>
              <w:rPr>
                <w:rFonts w:hint="eastAsia" w:ascii="宋体" w:hAnsi="宋体" w:cs="宋体"/>
                <w:i w:val="0"/>
                <w:iCs w:val="0"/>
                <w:color w:val="auto"/>
                <w:sz w:val="24"/>
                <w:szCs w:val="24"/>
                <w:highlight w:val="none"/>
                <w:lang w:val="en-US" w:eastAsia="zh-CN"/>
              </w:rPr>
              <w:t>的</w:t>
            </w:r>
            <w:r>
              <w:rPr>
                <w:rFonts w:hint="eastAsia" w:ascii="宋体" w:hAnsi="宋体" w:eastAsia="宋体" w:cs="宋体"/>
                <w:i w:val="0"/>
                <w:iCs w:val="0"/>
                <w:color w:val="auto"/>
                <w:sz w:val="24"/>
                <w:szCs w:val="24"/>
                <w:highlight w:val="none"/>
                <w:lang w:val="en-US" w:eastAsia="zh-CN"/>
              </w:rPr>
              <w:t>得</w:t>
            </w:r>
            <w:r>
              <w:rPr>
                <w:rFonts w:hint="eastAsia" w:ascii="宋体" w:hAnsi="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lang w:val="en-US" w:eastAsia="zh-CN"/>
              </w:rPr>
              <w:t>分；</w:t>
            </w:r>
          </w:p>
          <w:p w14:paraId="25D96713">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有固定、独立并能够满足培训人数需要的住宿、餐饮等生活设施，教学环境、教学设备基本满足要求，学员食宿条件、具备医疗卫生条件</w:t>
            </w:r>
            <w:r>
              <w:rPr>
                <w:rFonts w:hint="eastAsia" w:ascii="宋体" w:hAnsi="宋体" w:cs="宋体"/>
                <w:i w:val="0"/>
                <w:iCs w:val="0"/>
                <w:color w:val="auto"/>
                <w:sz w:val="24"/>
                <w:szCs w:val="24"/>
                <w:highlight w:val="none"/>
                <w:lang w:val="en-US" w:eastAsia="zh-CN"/>
              </w:rPr>
              <w:t>的</w:t>
            </w:r>
            <w:r>
              <w:rPr>
                <w:rFonts w:hint="eastAsia" w:ascii="宋体" w:hAnsi="宋体" w:eastAsia="宋体" w:cs="宋体"/>
                <w:i w:val="0"/>
                <w:iCs w:val="0"/>
                <w:color w:val="auto"/>
                <w:sz w:val="24"/>
                <w:szCs w:val="24"/>
                <w:highlight w:val="none"/>
                <w:lang w:val="en-US" w:eastAsia="zh-CN"/>
              </w:rPr>
              <w:t>得</w:t>
            </w:r>
            <w:r>
              <w:rPr>
                <w:rFonts w:hint="eastAsia" w:ascii="宋体" w:hAnsi="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val="en-US" w:eastAsia="zh-CN"/>
              </w:rPr>
              <w:t>分；</w:t>
            </w:r>
          </w:p>
          <w:p w14:paraId="0BA13A0F">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培训场地、教学设备和学员食宿条件较差，培训保障无针对性</w:t>
            </w:r>
            <w:r>
              <w:rPr>
                <w:rFonts w:hint="eastAsia" w:ascii="宋体" w:hAnsi="宋体" w:cs="宋体"/>
                <w:i w:val="0"/>
                <w:iCs w:val="0"/>
                <w:color w:val="auto"/>
                <w:sz w:val="24"/>
                <w:szCs w:val="24"/>
                <w:highlight w:val="none"/>
                <w:lang w:val="en-US" w:eastAsia="zh-CN"/>
              </w:rPr>
              <w:t>的</w:t>
            </w:r>
            <w:r>
              <w:rPr>
                <w:rFonts w:hint="eastAsia" w:ascii="宋体" w:hAnsi="宋体" w:eastAsia="宋体" w:cs="宋体"/>
                <w:i w:val="0"/>
                <w:iCs w:val="0"/>
                <w:color w:val="auto"/>
                <w:sz w:val="24"/>
                <w:szCs w:val="24"/>
                <w:highlight w:val="none"/>
                <w:lang w:val="en-US" w:eastAsia="zh-CN"/>
              </w:rPr>
              <w:t>得</w:t>
            </w:r>
            <w:r>
              <w:rPr>
                <w:rFonts w:hint="eastAsia" w:ascii="宋体" w:hAnsi="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en-US" w:eastAsia="zh-CN"/>
              </w:rPr>
              <w:t>分；</w:t>
            </w:r>
          </w:p>
          <w:p w14:paraId="020533DF">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未提供相关内容阐述不得分。</w:t>
            </w:r>
          </w:p>
        </w:tc>
      </w:tr>
      <w:tr w14:paraId="430EC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75" w:type="dxa"/>
            <w:tcBorders>
              <w:top w:val="single" w:color="auto" w:sz="4" w:space="0"/>
              <w:left w:val="single" w:color="auto" w:sz="4" w:space="0"/>
              <w:right w:val="single" w:color="auto" w:sz="4" w:space="0"/>
            </w:tcBorders>
            <w:shd w:val="clear" w:color="auto" w:fill="auto"/>
            <w:vAlign w:val="center"/>
          </w:tcPr>
          <w:p w14:paraId="236E2A1C">
            <w:pPr>
              <w:widowControl/>
              <w:ind w:left="0" w:leftChars="0" w:firstLine="0" w:firstLineChars="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11</w:t>
            </w:r>
          </w:p>
        </w:tc>
        <w:tc>
          <w:tcPr>
            <w:tcW w:w="1224" w:type="dxa"/>
            <w:tcBorders>
              <w:top w:val="single" w:color="auto" w:sz="4" w:space="0"/>
              <w:left w:val="single" w:color="auto" w:sz="4" w:space="0"/>
              <w:right w:val="single" w:color="auto" w:sz="4" w:space="0"/>
            </w:tcBorders>
            <w:shd w:val="clear" w:color="auto" w:fill="auto"/>
            <w:vAlign w:val="center"/>
          </w:tcPr>
          <w:p w14:paraId="6203A128">
            <w:pPr>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应急方案</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4F581739">
            <w:pPr>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lang w:val="en-US" w:eastAsia="zh-CN"/>
              </w:rPr>
              <w:t>分</w:t>
            </w:r>
          </w:p>
        </w:tc>
        <w:tc>
          <w:tcPr>
            <w:tcW w:w="6209" w:type="dxa"/>
            <w:tcBorders>
              <w:top w:val="single" w:color="auto" w:sz="4" w:space="0"/>
              <w:left w:val="single" w:color="auto" w:sz="4" w:space="0"/>
              <w:bottom w:val="single" w:color="auto" w:sz="4" w:space="0"/>
              <w:right w:val="single" w:color="auto" w:sz="4" w:space="0"/>
            </w:tcBorders>
            <w:shd w:val="clear" w:color="auto" w:fill="auto"/>
            <w:vAlign w:val="center"/>
          </w:tcPr>
          <w:p w14:paraId="35FD8306">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供应商</w:t>
            </w:r>
            <w:r>
              <w:rPr>
                <w:rFonts w:hint="eastAsia" w:ascii="宋体" w:hAnsi="宋体" w:eastAsia="宋体" w:cs="宋体"/>
                <w:i w:val="0"/>
                <w:iCs w:val="0"/>
                <w:color w:val="auto"/>
                <w:sz w:val="24"/>
                <w:szCs w:val="24"/>
                <w:highlight w:val="none"/>
                <w:lang w:val="en-US" w:eastAsia="zh-CN"/>
              </w:rPr>
              <w:t>提供应急管理制度、突发事件应急处置预案、措施：</w:t>
            </w:r>
          </w:p>
          <w:p w14:paraId="0A1B40F6">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应急预案程序清晰到位、时间节点明确、方案完整完善的得</w:t>
            </w:r>
            <w:r>
              <w:rPr>
                <w:rFonts w:hint="eastAsia" w:ascii="宋体" w:hAnsi="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lang w:val="en-US" w:eastAsia="zh-CN"/>
              </w:rPr>
              <w:t>分；</w:t>
            </w:r>
          </w:p>
          <w:p w14:paraId="7DCD9FDA">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应急预案程序清晰、有基本的节点和方案的得</w:t>
            </w:r>
            <w:r>
              <w:rPr>
                <w:rFonts w:hint="eastAsia" w:ascii="宋体" w:hAnsi="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val="en-US" w:eastAsia="zh-CN"/>
              </w:rPr>
              <w:t>分；</w:t>
            </w:r>
          </w:p>
          <w:p w14:paraId="4355C492">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应急预案内容理解欠缺、描述不准确，仅能基本满足服务的得</w:t>
            </w:r>
            <w:r>
              <w:rPr>
                <w:rFonts w:hint="eastAsia" w:ascii="宋体" w:hAnsi="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en-US" w:eastAsia="zh-CN"/>
              </w:rPr>
              <w:t>分；</w:t>
            </w:r>
          </w:p>
          <w:p w14:paraId="00C65769">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未提供相关内容阐述不得分。</w:t>
            </w:r>
          </w:p>
        </w:tc>
      </w:tr>
      <w:tr w14:paraId="36864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75" w:type="dxa"/>
            <w:tcBorders>
              <w:left w:val="single" w:color="auto" w:sz="4" w:space="0"/>
              <w:right w:val="single" w:color="auto" w:sz="4" w:space="0"/>
            </w:tcBorders>
            <w:shd w:val="clear" w:color="auto" w:fill="auto"/>
            <w:vAlign w:val="center"/>
          </w:tcPr>
          <w:p w14:paraId="647FDF8E">
            <w:pPr>
              <w:widowControl/>
              <w:ind w:left="0" w:leftChars="0" w:firstLine="0" w:firstLineChars="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12</w:t>
            </w:r>
          </w:p>
        </w:tc>
        <w:tc>
          <w:tcPr>
            <w:tcW w:w="1224" w:type="dxa"/>
            <w:tcBorders>
              <w:left w:val="single" w:color="auto" w:sz="4" w:space="0"/>
              <w:right w:val="single" w:color="auto" w:sz="4" w:space="0"/>
            </w:tcBorders>
            <w:shd w:val="clear" w:color="auto" w:fill="auto"/>
            <w:vAlign w:val="center"/>
          </w:tcPr>
          <w:p w14:paraId="144D7943">
            <w:pPr>
              <w:widowControl/>
              <w:ind w:left="0" w:leftChars="0" w:firstLine="0" w:firstLineChars="0"/>
              <w:jc w:val="center"/>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安全保障</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6F459F5F">
            <w:pPr>
              <w:widowControl/>
              <w:ind w:left="420" w:leftChars="0" w:hanging="420" w:firstLineChars="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6分</w:t>
            </w:r>
          </w:p>
        </w:tc>
        <w:tc>
          <w:tcPr>
            <w:tcW w:w="6209" w:type="dxa"/>
            <w:tcBorders>
              <w:top w:val="single" w:color="auto" w:sz="4" w:space="0"/>
              <w:left w:val="single" w:color="auto" w:sz="4" w:space="0"/>
              <w:bottom w:val="single" w:color="auto" w:sz="4" w:space="0"/>
              <w:right w:val="single" w:color="auto" w:sz="4" w:space="0"/>
            </w:tcBorders>
            <w:shd w:val="clear" w:color="auto" w:fill="auto"/>
            <w:vAlign w:val="center"/>
          </w:tcPr>
          <w:p w14:paraId="57FBF6D2">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安全保障到位且保障措施详细周全，同时具有应对措施详细解决方案的得6分；</w:t>
            </w:r>
          </w:p>
          <w:p w14:paraId="60F0A3AD">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安全保障措施完整但应对措施解决方案不全面的得4分；</w:t>
            </w:r>
          </w:p>
          <w:p w14:paraId="637872F4">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具有安全保障措施，但应对措施解决方案与本项目实际情况有偏差的得2分；</w:t>
            </w:r>
          </w:p>
          <w:p w14:paraId="7477FE34">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未提供相关内容阐述不得分。</w:t>
            </w:r>
          </w:p>
        </w:tc>
      </w:tr>
      <w:tr w14:paraId="65B2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75" w:type="dxa"/>
            <w:tcBorders>
              <w:left w:val="single" w:color="auto" w:sz="4" w:space="0"/>
              <w:right w:val="single" w:color="auto" w:sz="4" w:space="0"/>
            </w:tcBorders>
            <w:shd w:val="clear" w:color="auto" w:fill="auto"/>
            <w:vAlign w:val="center"/>
          </w:tcPr>
          <w:p w14:paraId="3749419A">
            <w:pPr>
              <w:widowControl/>
              <w:ind w:left="0" w:leftChars="0" w:firstLine="0" w:firstLineChars="0"/>
              <w:jc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13</w:t>
            </w:r>
          </w:p>
        </w:tc>
        <w:tc>
          <w:tcPr>
            <w:tcW w:w="1224" w:type="dxa"/>
            <w:tcBorders>
              <w:left w:val="single" w:color="auto" w:sz="4" w:space="0"/>
              <w:right w:val="single" w:color="auto" w:sz="4" w:space="0"/>
            </w:tcBorders>
            <w:shd w:val="clear" w:color="auto" w:fill="auto"/>
            <w:vAlign w:val="center"/>
          </w:tcPr>
          <w:p w14:paraId="2511F623">
            <w:pPr>
              <w:widowControl/>
              <w:ind w:left="0" w:leftChars="0" w:firstLine="0" w:firstLine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相关承诺</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1ADBABDA">
            <w:pPr>
              <w:widowControl/>
              <w:ind w:left="0" w:leftChars="0" w:firstLine="0" w:firstLineChars="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2分</w:t>
            </w:r>
          </w:p>
        </w:tc>
        <w:tc>
          <w:tcPr>
            <w:tcW w:w="6209" w:type="dxa"/>
            <w:tcBorders>
              <w:top w:val="single" w:color="auto" w:sz="4" w:space="0"/>
              <w:left w:val="single" w:color="auto" w:sz="4" w:space="0"/>
              <w:bottom w:val="single" w:color="auto" w:sz="4" w:space="0"/>
              <w:right w:val="single" w:color="auto" w:sz="4" w:space="0"/>
            </w:tcBorders>
            <w:shd w:val="clear" w:color="auto" w:fill="auto"/>
            <w:vAlign w:val="center"/>
          </w:tcPr>
          <w:p w14:paraId="2AF934AA">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供应商承诺如中标，在合同履行期限内，不随意更换服务团队人员的得2分，未提供的不得分；</w:t>
            </w:r>
          </w:p>
          <w:p w14:paraId="6F157667">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482"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备注：上述承诺均须单独出具承诺书，格式自拟，承诺书内容包含上述承诺内容即可，承诺书附于响应文件中并加盖供应商公章，未单独出具或未按要求承诺或未加盖供应商公章的不予认可。</w:t>
            </w:r>
          </w:p>
        </w:tc>
      </w:tr>
    </w:tbl>
    <w:p w14:paraId="5FA782F9">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A8437F"/>
    <w:rsid w:val="5EA84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3" w:firstLineChars="200"/>
      <w:jc w:val="both"/>
    </w:pPr>
    <w:rPr>
      <w:rFonts w:ascii="Arial" w:hAnsi="Arial" w:eastAsia="宋体" w:cs="Times New Roman"/>
      <w:kern w:val="2"/>
      <w:sz w:val="24"/>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400" w:lineRule="exact"/>
    </w:pPr>
    <w:rPr>
      <w:rFonts w:ascii="楷体_GB2312"/>
      <w:sz w:val="28"/>
    </w:rPr>
  </w:style>
  <w:style w:type="paragraph" w:styleId="3">
    <w:name w:val="Title"/>
    <w:basedOn w:val="1"/>
    <w:next w:val="4"/>
    <w:qFormat/>
    <w:uiPriority w:val="0"/>
    <w:pPr>
      <w:jc w:val="center"/>
      <w:outlineLvl w:val="0"/>
    </w:pPr>
    <w:rPr>
      <w:rFonts w:ascii="Arial" w:hAnsi="Arial"/>
      <w:b/>
      <w:sz w:val="32"/>
    </w:rPr>
  </w:style>
  <w:style w:type="paragraph" w:styleId="4">
    <w:name w:val="Plain Text"/>
    <w:basedOn w:val="1"/>
    <w:unhideWhenUsed/>
    <w:qFormat/>
    <w:uiPriority w:val="0"/>
    <w:rPr>
      <w:rFonts w:ascii="宋体" w:hAnsi="Courier New" w:cs="Times New Roman"/>
      <w:szCs w:val="21"/>
    </w:rPr>
  </w:style>
  <w:style w:type="paragraph" w:customStyle="1" w:styleId="7">
    <w:name w:val="段"/>
    <w:next w:val="8"/>
    <w:qFormat/>
    <w:uiPriority w:val="0"/>
    <w:pPr>
      <w:autoSpaceDE w:val="0"/>
      <w:autoSpaceDN w:val="0"/>
      <w:ind w:firstLine="200" w:firstLineChars="200"/>
      <w:jc w:val="both"/>
    </w:pPr>
    <w:rPr>
      <w:rFonts w:ascii="宋体" w:hAnsi="Times New Roman" w:eastAsia="Times New Roman" w:cs="Times New Roman"/>
      <w:sz w:val="21"/>
      <w:lang w:val="en-US" w:eastAsia="zh-CN" w:bidi="ar-SA"/>
    </w:rPr>
  </w:style>
  <w:style w:type="paragraph" w:customStyle="1" w:styleId="8">
    <w:name w:val="正文 A"/>
    <w:next w:val="7"/>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lang w:val="en-US" w:eastAsia="zh-CN" w:bidi="ar-SA"/>
    </w:rPr>
  </w:style>
  <w:style w:type="paragraph" w:customStyle="1" w:styleId="9">
    <w:name w:val="标书正文1"/>
    <w:basedOn w:val="1"/>
    <w:qFormat/>
    <w:uiPriority w:val="0"/>
    <w:pPr>
      <w:spacing w:beforeLines="20" w:afterLines="20" w:line="520" w:lineRule="exact"/>
      <w:ind w:firstLine="64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2025-06-23T10:06:00Z</dcterms:created>
  <dc:creator>嗷呦</dc:creator>
  <cp:lastModifiedBy>嗷呦</cp:lastModifiedBy>
  <dcterms:modified xsi:type="dcterms:W3CDTF">2025-06-23T10:07:11Z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B20DBC3CEFD14275B992C4BC7F8104AB_11</vt:lpwstr>
  </property>
  <property fmtid="{D5CDD505-2E9C-101B-9397-08002B2CF9AE}" pid="4" name="KSOTemplateDocerSaveRecord">
    <vt:lpwstr>eyJoZGlkIjoiM2RmYzY0NjlhNWNhZWRiYTIwNzljZmMyYzhhNmM5MDQiLCJ1c2VySWQiOiI0MTQ2NzEyMjQifQ==</vt:lpwstr>
  </property>
</Properties>
</file>